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2AC05" w14:textId="3A8FC9BD" w:rsidR="00321A19" w:rsidRDefault="00321A19" w:rsidP="00321A19">
      <w:pPr>
        <w:pStyle w:val="OMBInfo"/>
      </w:pPr>
      <w:bookmarkStart w:id="0" w:name="_GoBack"/>
      <w:bookmarkEnd w:id="0"/>
      <w:r>
        <w:t>OMB No. 0925-0001</w:t>
      </w:r>
      <w:r w:rsidR="00FC5F9E">
        <w:t xml:space="preserve"> and 0925-</w:t>
      </w:r>
      <w:r>
        <w:t xml:space="preserve">0002 (Rev. </w:t>
      </w:r>
      <w:r w:rsidR="00F94A2B">
        <w:t>10</w:t>
      </w:r>
      <w:r w:rsidR="00FC5F9E">
        <w:t>/15</w:t>
      </w:r>
      <w:r>
        <w:t xml:space="preserve"> Approved Through </w:t>
      </w:r>
      <w:r w:rsidR="00FC5F9E">
        <w:t>10</w:t>
      </w:r>
      <w:r>
        <w:t>/31/</w:t>
      </w:r>
      <w:r w:rsidR="00FC5F9E">
        <w:t>2018</w:t>
      </w:r>
      <w:r>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086D29F3" w:rsidR="002B7443" w:rsidRPr="00D3779E" w:rsidRDefault="002B7443" w:rsidP="002B7443">
      <w:pPr>
        <w:pStyle w:val="FormFieldCaption1"/>
        <w:pBdr>
          <w:between w:val="single" w:sz="4" w:space="1" w:color="auto"/>
        </w:pBdr>
        <w:rPr>
          <w:sz w:val="32"/>
        </w:rPr>
      </w:pPr>
      <w:r w:rsidRPr="00D3779E">
        <w:rPr>
          <w:sz w:val="22"/>
        </w:rPr>
        <w:t>NAME:</w:t>
      </w:r>
      <w:r w:rsidR="006B1D9F" w:rsidRPr="006B1D9F">
        <w:rPr>
          <w:sz w:val="22"/>
          <w:szCs w:val="22"/>
        </w:rPr>
        <w:t xml:space="preserve"> </w:t>
      </w:r>
      <w:r w:rsidR="006B1D9F" w:rsidRPr="001616B6">
        <w:rPr>
          <w:sz w:val="22"/>
          <w:szCs w:val="22"/>
        </w:rPr>
        <w:t>Konda, Kelika</w:t>
      </w:r>
    </w:p>
    <w:p w14:paraId="7FFF41C1" w14:textId="24306F62" w:rsidR="002B7443" w:rsidRPr="00D3779E" w:rsidRDefault="00E047AD" w:rsidP="002B7443">
      <w:pPr>
        <w:pStyle w:val="FormFieldCaption1"/>
        <w:pBdr>
          <w:between w:val="single" w:sz="4" w:space="1" w:color="auto"/>
        </w:pBdr>
        <w:rPr>
          <w:sz w:val="32"/>
        </w:rPr>
      </w:pPr>
      <w:proofErr w:type="spellStart"/>
      <w:proofErr w:type="gramStart"/>
      <w:r w:rsidRPr="00D3779E">
        <w:rPr>
          <w:sz w:val="22"/>
        </w:rPr>
        <w:t>eRA</w:t>
      </w:r>
      <w:proofErr w:type="spellEnd"/>
      <w:proofErr w:type="gramEnd"/>
      <w:r w:rsidRPr="00D3779E">
        <w:rPr>
          <w:sz w:val="22"/>
        </w:rPr>
        <w:t xml:space="preserve"> COMMONS USER NAME (credential, e.g., agency login)</w:t>
      </w:r>
      <w:r w:rsidR="002B7443" w:rsidRPr="00D3779E">
        <w:rPr>
          <w:sz w:val="22"/>
        </w:rPr>
        <w:t>:</w:t>
      </w:r>
      <w:r w:rsidR="006B1D9F" w:rsidRPr="006B1D9F">
        <w:rPr>
          <w:sz w:val="22"/>
          <w:szCs w:val="22"/>
        </w:rPr>
        <w:t xml:space="preserve"> </w:t>
      </w:r>
      <w:r w:rsidR="006B1D9F" w:rsidRPr="001616B6">
        <w:rPr>
          <w:sz w:val="22"/>
          <w:szCs w:val="22"/>
        </w:rPr>
        <w:t>KKONDA1</w:t>
      </w:r>
    </w:p>
    <w:p w14:paraId="74873D9A" w14:textId="051B0E5D"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6B1D9F" w:rsidRPr="006B1D9F">
        <w:rPr>
          <w:szCs w:val="22"/>
        </w:rPr>
        <w:t xml:space="preserve"> </w:t>
      </w:r>
      <w:r w:rsidR="006B1D9F" w:rsidRPr="001616B6">
        <w:rPr>
          <w:szCs w:val="22"/>
        </w:rPr>
        <w:t xml:space="preserve">Assistant Professor, </w:t>
      </w:r>
      <w:r w:rsidR="005C178A">
        <w:rPr>
          <w:szCs w:val="22"/>
        </w:rPr>
        <w:t>UCLA</w:t>
      </w:r>
      <w:r w:rsidR="004E797F">
        <w:rPr>
          <w:szCs w:val="22"/>
        </w:rPr>
        <w:t xml:space="preserve"> </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933173" w:rsidRPr="00D3779E" w14:paraId="21BBC1F3" w14:textId="77777777" w:rsidTr="006B1D9F">
        <w:trPr>
          <w:cantSplit/>
          <w:tblHeader/>
        </w:trPr>
        <w:tc>
          <w:tcPr>
            <w:tcW w:w="5364"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44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6B1D9F" w:rsidRPr="00D3779E" w14:paraId="5CD50646" w14:textId="77777777" w:rsidTr="006B1D9F">
        <w:trPr>
          <w:cantSplit/>
          <w:trHeight w:val="395"/>
        </w:trPr>
        <w:tc>
          <w:tcPr>
            <w:tcW w:w="5364" w:type="dxa"/>
            <w:tcBorders>
              <w:top w:val="single" w:sz="4" w:space="0" w:color="auto"/>
            </w:tcBorders>
            <w:vAlign w:val="center"/>
          </w:tcPr>
          <w:p w14:paraId="3B0C531B" w14:textId="5A555B5E" w:rsidR="006B1D9F" w:rsidRPr="00977FA5" w:rsidRDefault="006B1D9F" w:rsidP="006B1D9F">
            <w:pPr>
              <w:pStyle w:val="FormFieldCaption"/>
              <w:spacing w:before="20" w:after="20"/>
              <w:rPr>
                <w:sz w:val="22"/>
                <w:szCs w:val="22"/>
              </w:rPr>
            </w:pPr>
            <w:r w:rsidRPr="001616B6">
              <w:rPr>
                <w:sz w:val="22"/>
                <w:szCs w:val="22"/>
              </w:rPr>
              <w:t>Barnard College, Columbia University</w:t>
            </w:r>
          </w:p>
        </w:tc>
        <w:tc>
          <w:tcPr>
            <w:tcW w:w="1440" w:type="dxa"/>
            <w:tcBorders>
              <w:top w:val="single" w:sz="4" w:space="0" w:color="auto"/>
            </w:tcBorders>
            <w:vAlign w:val="center"/>
          </w:tcPr>
          <w:p w14:paraId="62DD05C1" w14:textId="179EFE9E" w:rsidR="006B1D9F" w:rsidRPr="00977FA5" w:rsidRDefault="006B1D9F" w:rsidP="006B1D9F">
            <w:pPr>
              <w:pStyle w:val="FormFieldCaption"/>
              <w:spacing w:before="20" w:after="20"/>
              <w:jc w:val="center"/>
              <w:rPr>
                <w:sz w:val="22"/>
                <w:szCs w:val="22"/>
              </w:rPr>
            </w:pPr>
            <w:r w:rsidRPr="001616B6">
              <w:rPr>
                <w:sz w:val="22"/>
                <w:szCs w:val="22"/>
              </w:rPr>
              <w:t>BA</w:t>
            </w:r>
          </w:p>
        </w:tc>
        <w:tc>
          <w:tcPr>
            <w:tcW w:w="1440" w:type="dxa"/>
            <w:tcBorders>
              <w:top w:val="single" w:sz="4" w:space="0" w:color="auto"/>
            </w:tcBorders>
            <w:vAlign w:val="center"/>
          </w:tcPr>
          <w:p w14:paraId="543299E0" w14:textId="499AA23A" w:rsidR="006B1D9F" w:rsidRPr="00977FA5" w:rsidRDefault="006B1D9F" w:rsidP="006B1D9F">
            <w:pPr>
              <w:pStyle w:val="FormFieldCaption"/>
              <w:spacing w:before="20" w:after="20"/>
              <w:jc w:val="center"/>
              <w:rPr>
                <w:sz w:val="22"/>
                <w:szCs w:val="22"/>
              </w:rPr>
            </w:pPr>
            <w:r w:rsidRPr="001616B6">
              <w:rPr>
                <w:sz w:val="22"/>
                <w:szCs w:val="22"/>
              </w:rPr>
              <w:t>05/2000</w:t>
            </w:r>
          </w:p>
        </w:tc>
        <w:tc>
          <w:tcPr>
            <w:tcW w:w="2592" w:type="dxa"/>
            <w:tcBorders>
              <w:top w:val="single" w:sz="4" w:space="0" w:color="auto"/>
            </w:tcBorders>
            <w:vAlign w:val="center"/>
          </w:tcPr>
          <w:p w14:paraId="7BC5582F" w14:textId="4C4E7911" w:rsidR="006B1D9F" w:rsidRPr="00977FA5" w:rsidRDefault="006B1D9F" w:rsidP="006B1D9F">
            <w:pPr>
              <w:pStyle w:val="FormFieldCaption"/>
              <w:spacing w:before="20" w:after="20"/>
              <w:rPr>
                <w:sz w:val="22"/>
                <w:szCs w:val="22"/>
              </w:rPr>
            </w:pPr>
            <w:r w:rsidRPr="001616B6">
              <w:rPr>
                <w:sz w:val="22"/>
                <w:szCs w:val="22"/>
              </w:rPr>
              <w:t>Environmental Science</w:t>
            </w:r>
          </w:p>
        </w:tc>
      </w:tr>
      <w:tr w:rsidR="006B1D9F" w:rsidRPr="00D3779E" w14:paraId="1515F345" w14:textId="77777777" w:rsidTr="006B1D9F">
        <w:trPr>
          <w:cantSplit/>
          <w:trHeight w:val="395"/>
        </w:trPr>
        <w:tc>
          <w:tcPr>
            <w:tcW w:w="5364" w:type="dxa"/>
            <w:vAlign w:val="center"/>
          </w:tcPr>
          <w:p w14:paraId="7DED23E7" w14:textId="79874D86" w:rsidR="006B1D9F" w:rsidRPr="00977FA5" w:rsidRDefault="006B1D9F" w:rsidP="006B1D9F">
            <w:pPr>
              <w:pStyle w:val="FormFieldCaption"/>
              <w:spacing w:before="20" w:after="20"/>
              <w:rPr>
                <w:sz w:val="22"/>
                <w:szCs w:val="22"/>
              </w:rPr>
            </w:pPr>
            <w:r w:rsidRPr="001616B6">
              <w:rPr>
                <w:sz w:val="22"/>
                <w:szCs w:val="22"/>
              </w:rPr>
              <w:t>Johns Hopkins Bloomberg School of Public Health</w:t>
            </w:r>
          </w:p>
        </w:tc>
        <w:tc>
          <w:tcPr>
            <w:tcW w:w="1440" w:type="dxa"/>
            <w:vAlign w:val="center"/>
          </w:tcPr>
          <w:p w14:paraId="0D874BFC" w14:textId="56B61167" w:rsidR="006B1D9F" w:rsidRPr="00977FA5" w:rsidRDefault="006B1D9F" w:rsidP="006B1D9F">
            <w:pPr>
              <w:pStyle w:val="FormFieldCaption"/>
              <w:spacing w:before="20" w:after="20"/>
              <w:jc w:val="center"/>
              <w:rPr>
                <w:sz w:val="22"/>
                <w:szCs w:val="22"/>
              </w:rPr>
            </w:pPr>
            <w:r w:rsidRPr="001616B6">
              <w:rPr>
                <w:sz w:val="22"/>
                <w:szCs w:val="22"/>
              </w:rPr>
              <w:t>MHS</w:t>
            </w:r>
          </w:p>
        </w:tc>
        <w:tc>
          <w:tcPr>
            <w:tcW w:w="1440" w:type="dxa"/>
            <w:vAlign w:val="center"/>
          </w:tcPr>
          <w:p w14:paraId="1A7AA7CA" w14:textId="21C682D9" w:rsidR="006B1D9F" w:rsidRPr="00977FA5" w:rsidRDefault="006B1D9F" w:rsidP="006B1D9F">
            <w:pPr>
              <w:pStyle w:val="FormFieldCaption"/>
              <w:spacing w:before="20" w:after="20"/>
              <w:jc w:val="center"/>
              <w:rPr>
                <w:sz w:val="22"/>
                <w:szCs w:val="22"/>
              </w:rPr>
            </w:pPr>
            <w:r w:rsidRPr="001616B6">
              <w:rPr>
                <w:sz w:val="22"/>
                <w:szCs w:val="22"/>
              </w:rPr>
              <w:t>05/2005</w:t>
            </w:r>
          </w:p>
        </w:tc>
        <w:tc>
          <w:tcPr>
            <w:tcW w:w="2592" w:type="dxa"/>
            <w:vAlign w:val="center"/>
          </w:tcPr>
          <w:p w14:paraId="4CC74E5C" w14:textId="4187503E" w:rsidR="006B1D9F" w:rsidRPr="00977FA5" w:rsidRDefault="00E55852" w:rsidP="006B1D9F">
            <w:pPr>
              <w:pStyle w:val="FormFieldCaption"/>
              <w:spacing w:before="20" w:after="20"/>
              <w:rPr>
                <w:sz w:val="22"/>
                <w:szCs w:val="22"/>
              </w:rPr>
            </w:pPr>
            <w:r>
              <w:rPr>
                <w:sz w:val="22"/>
                <w:szCs w:val="22"/>
              </w:rPr>
              <w:t xml:space="preserve">Social and Behavioral Interventions in </w:t>
            </w:r>
            <w:r w:rsidR="006B1D9F" w:rsidRPr="001616B6">
              <w:rPr>
                <w:sz w:val="22"/>
                <w:szCs w:val="22"/>
              </w:rPr>
              <w:t>International Health</w:t>
            </w:r>
          </w:p>
        </w:tc>
      </w:tr>
      <w:tr w:rsidR="006B1D9F" w:rsidRPr="00D3779E" w14:paraId="51E27C1C" w14:textId="77777777" w:rsidTr="006B1D9F">
        <w:trPr>
          <w:cantSplit/>
          <w:trHeight w:val="395"/>
        </w:trPr>
        <w:tc>
          <w:tcPr>
            <w:tcW w:w="5364" w:type="dxa"/>
            <w:tcBorders>
              <w:bottom w:val="nil"/>
            </w:tcBorders>
            <w:vAlign w:val="center"/>
          </w:tcPr>
          <w:p w14:paraId="66BC8FF0" w14:textId="43699E53" w:rsidR="006B1D9F" w:rsidRPr="00977FA5" w:rsidRDefault="006B1D9F" w:rsidP="006B1D9F">
            <w:pPr>
              <w:pStyle w:val="FormFieldCaption"/>
              <w:spacing w:before="20" w:after="20"/>
              <w:rPr>
                <w:sz w:val="22"/>
                <w:szCs w:val="22"/>
              </w:rPr>
            </w:pPr>
            <w:r w:rsidRPr="001616B6">
              <w:rPr>
                <w:sz w:val="22"/>
                <w:szCs w:val="22"/>
              </w:rPr>
              <w:t>Johns Hopkins Bloomberg School of Public Health</w:t>
            </w:r>
          </w:p>
        </w:tc>
        <w:tc>
          <w:tcPr>
            <w:tcW w:w="1440" w:type="dxa"/>
            <w:tcBorders>
              <w:bottom w:val="nil"/>
            </w:tcBorders>
            <w:vAlign w:val="center"/>
          </w:tcPr>
          <w:p w14:paraId="6AEADABA" w14:textId="45EBBCF4" w:rsidR="006B1D9F" w:rsidRPr="00977FA5" w:rsidRDefault="006B1D9F" w:rsidP="006B1D9F">
            <w:pPr>
              <w:pStyle w:val="FormFieldCaption"/>
              <w:spacing w:before="20" w:after="20"/>
              <w:jc w:val="center"/>
              <w:rPr>
                <w:sz w:val="22"/>
                <w:szCs w:val="22"/>
              </w:rPr>
            </w:pPr>
            <w:r w:rsidRPr="001616B6">
              <w:rPr>
                <w:sz w:val="22"/>
                <w:szCs w:val="22"/>
              </w:rPr>
              <w:t>PhD</w:t>
            </w:r>
          </w:p>
        </w:tc>
        <w:tc>
          <w:tcPr>
            <w:tcW w:w="1440" w:type="dxa"/>
            <w:tcBorders>
              <w:bottom w:val="nil"/>
            </w:tcBorders>
            <w:vAlign w:val="center"/>
          </w:tcPr>
          <w:p w14:paraId="4ED60B07" w14:textId="7FBCBE91" w:rsidR="006B1D9F" w:rsidRPr="00977FA5" w:rsidRDefault="006B1D9F" w:rsidP="006B1D9F">
            <w:pPr>
              <w:pStyle w:val="FormFieldCaption"/>
              <w:spacing w:before="20" w:after="20"/>
              <w:jc w:val="center"/>
              <w:rPr>
                <w:sz w:val="22"/>
                <w:szCs w:val="22"/>
              </w:rPr>
            </w:pPr>
            <w:r w:rsidRPr="001616B6">
              <w:rPr>
                <w:sz w:val="22"/>
                <w:szCs w:val="22"/>
              </w:rPr>
              <w:t>05 /2010</w:t>
            </w:r>
          </w:p>
        </w:tc>
        <w:tc>
          <w:tcPr>
            <w:tcW w:w="2592" w:type="dxa"/>
            <w:tcBorders>
              <w:bottom w:val="nil"/>
            </w:tcBorders>
            <w:vAlign w:val="center"/>
          </w:tcPr>
          <w:p w14:paraId="2303550C" w14:textId="06E7D064" w:rsidR="006B1D9F" w:rsidRPr="00977FA5" w:rsidRDefault="006B1D9F" w:rsidP="006B1D9F">
            <w:pPr>
              <w:pStyle w:val="FormFieldCaption"/>
              <w:spacing w:before="20" w:after="20"/>
              <w:rPr>
                <w:sz w:val="22"/>
                <w:szCs w:val="22"/>
              </w:rPr>
            </w:pPr>
            <w:r w:rsidRPr="001616B6">
              <w:rPr>
                <w:sz w:val="22"/>
                <w:szCs w:val="22"/>
              </w:rPr>
              <w:t>Infectious Disease Epidemiology</w:t>
            </w:r>
          </w:p>
        </w:tc>
      </w:tr>
      <w:tr w:rsidR="006B1D9F" w:rsidRPr="00D3779E" w14:paraId="09D52645" w14:textId="77777777" w:rsidTr="006B1D9F">
        <w:trPr>
          <w:cantSplit/>
          <w:trHeight w:val="395"/>
        </w:trPr>
        <w:tc>
          <w:tcPr>
            <w:tcW w:w="5364" w:type="dxa"/>
            <w:tcBorders>
              <w:top w:val="nil"/>
              <w:bottom w:val="single" w:sz="4" w:space="0" w:color="auto"/>
            </w:tcBorders>
            <w:vAlign w:val="center"/>
          </w:tcPr>
          <w:p w14:paraId="76A4F390" w14:textId="06324ECB" w:rsidR="006B1D9F" w:rsidRPr="00977FA5" w:rsidRDefault="006B1D9F" w:rsidP="006B1D9F">
            <w:pPr>
              <w:pStyle w:val="FormFieldCaption"/>
              <w:spacing w:before="20" w:after="20"/>
              <w:rPr>
                <w:sz w:val="22"/>
                <w:szCs w:val="22"/>
              </w:rPr>
            </w:pPr>
            <w:r w:rsidRPr="001616B6">
              <w:rPr>
                <w:sz w:val="22"/>
                <w:szCs w:val="22"/>
              </w:rPr>
              <w:t>School of Medicine, University of California, Los Angeles</w:t>
            </w:r>
          </w:p>
        </w:tc>
        <w:tc>
          <w:tcPr>
            <w:tcW w:w="1440" w:type="dxa"/>
            <w:tcBorders>
              <w:top w:val="nil"/>
              <w:bottom w:val="single" w:sz="4" w:space="0" w:color="auto"/>
            </w:tcBorders>
            <w:vAlign w:val="center"/>
          </w:tcPr>
          <w:p w14:paraId="3120D72C" w14:textId="530579A4" w:rsidR="006B1D9F" w:rsidRPr="00977FA5" w:rsidRDefault="006B1D9F" w:rsidP="006B1D9F">
            <w:pPr>
              <w:pStyle w:val="FormFieldCaption"/>
              <w:spacing w:before="20" w:after="20"/>
              <w:jc w:val="center"/>
              <w:rPr>
                <w:sz w:val="22"/>
                <w:szCs w:val="22"/>
              </w:rPr>
            </w:pPr>
            <w:r w:rsidRPr="001616B6">
              <w:rPr>
                <w:sz w:val="22"/>
                <w:szCs w:val="22"/>
              </w:rPr>
              <w:t>Post-Doc</w:t>
            </w:r>
          </w:p>
        </w:tc>
        <w:tc>
          <w:tcPr>
            <w:tcW w:w="1440" w:type="dxa"/>
            <w:tcBorders>
              <w:top w:val="nil"/>
              <w:bottom w:val="single" w:sz="4" w:space="0" w:color="auto"/>
            </w:tcBorders>
            <w:vAlign w:val="center"/>
          </w:tcPr>
          <w:p w14:paraId="53EB7033" w14:textId="141875C0" w:rsidR="006B1D9F" w:rsidRPr="00977FA5" w:rsidRDefault="006B1D9F" w:rsidP="006B1D9F">
            <w:pPr>
              <w:pStyle w:val="FormFieldCaption"/>
              <w:spacing w:before="20" w:after="20"/>
              <w:jc w:val="center"/>
              <w:rPr>
                <w:sz w:val="22"/>
                <w:szCs w:val="22"/>
              </w:rPr>
            </w:pPr>
            <w:r w:rsidRPr="001616B6">
              <w:rPr>
                <w:sz w:val="22"/>
                <w:szCs w:val="22"/>
              </w:rPr>
              <w:t>07/2013</w:t>
            </w:r>
          </w:p>
        </w:tc>
        <w:tc>
          <w:tcPr>
            <w:tcW w:w="2592" w:type="dxa"/>
            <w:tcBorders>
              <w:top w:val="nil"/>
              <w:bottom w:val="single" w:sz="4" w:space="0" w:color="auto"/>
            </w:tcBorders>
            <w:vAlign w:val="center"/>
          </w:tcPr>
          <w:p w14:paraId="4418E34F" w14:textId="096A132E" w:rsidR="006B1D9F" w:rsidRPr="00977FA5" w:rsidRDefault="006B1D9F" w:rsidP="006B1D9F">
            <w:pPr>
              <w:pStyle w:val="FormFieldCaption"/>
              <w:spacing w:before="20" w:after="20"/>
              <w:rPr>
                <w:sz w:val="22"/>
                <w:szCs w:val="22"/>
              </w:rPr>
            </w:pPr>
            <w:r w:rsidRPr="001616B6">
              <w:rPr>
                <w:sz w:val="22"/>
                <w:szCs w:val="22"/>
              </w:rPr>
              <w:t>Global Health</w:t>
            </w:r>
          </w:p>
        </w:tc>
      </w:tr>
    </w:tbl>
    <w:p w14:paraId="6FC868BE" w14:textId="735E875D" w:rsidR="009E52CA" w:rsidRDefault="009E52CA">
      <w:pPr>
        <w:pStyle w:val="DataField11pt-Single"/>
      </w:pPr>
    </w:p>
    <w:p w14:paraId="7FB92A80" w14:textId="77777777" w:rsidR="006B1D9F" w:rsidRPr="001616B6" w:rsidRDefault="006B1D9F" w:rsidP="006B1D9F">
      <w:pPr>
        <w:pStyle w:val="Heading1"/>
        <w:numPr>
          <w:ilvl w:val="0"/>
          <w:numId w:val="19"/>
        </w:numPr>
        <w:pBdr>
          <w:top w:val="none" w:sz="0" w:space="0" w:color="auto"/>
        </w:pBdr>
        <w:ind w:left="142" w:firstLine="38"/>
        <w:jc w:val="both"/>
      </w:pPr>
      <w:r w:rsidRPr="001616B6">
        <w:t>Personal Statement</w:t>
      </w:r>
    </w:p>
    <w:p w14:paraId="7DA07B6A" w14:textId="77777777" w:rsidR="006B1D9F" w:rsidRPr="001616B6" w:rsidRDefault="006B1D9F" w:rsidP="006B1D9F">
      <w:pPr>
        <w:ind w:left="142"/>
        <w:rPr>
          <w:rFonts w:cs="Arial"/>
          <w:szCs w:val="22"/>
        </w:rPr>
      </w:pPr>
    </w:p>
    <w:p w14:paraId="1FA8D463" w14:textId="7F8709FF" w:rsidR="006B1D9F" w:rsidRPr="001616B6" w:rsidRDefault="006B1D9F" w:rsidP="006B1D9F">
      <w:pPr>
        <w:pStyle w:val="DataField11pt-Single"/>
        <w:spacing w:after="120"/>
        <w:rPr>
          <w:szCs w:val="22"/>
        </w:rPr>
      </w:pPr>
      <w:r w:rsidRPr="001616B6">
        <w:rPr>
          <w:szCs w:val="22"/>
        </w:rPr>
        <w:t xml:space="preserve">I am an Assistant Professor at the University of California at Los Angeles.  I have extensive experience in HIV and STI epidemiologic research, with background in social and behavioral interventions, HIV/STI research, epidemiology, and biostatistics. As a trained epidemiologist and experienced HIV/STI prevention researcher, I have worked on HIV/STI prevention intervention studies with MSM and transgender women </w:t>
      </w:r>
      <w:r w:rsidR="0003001F">
        <w:rPr>
          <w:szCs w:val="22"/>
        </w:rPr>
        <w:t>in Latin America for the past 14</w:t>
      </w:r>
      <w:r w:rsidRPr="001616B6">
        <w:rPr>
          <w:szCs w:val="22"/>
        </w:rPr>
        <w:t xml:space="preserve"> years. My work in this field has led to multiple scientific publications and a better understanding of the epidemiology of HIV and STIs among this population. </w:t>
      </w:r>
      <w:r w:rsidR="00E55852">
        <w:rPr>
          <w:szCs w:val="22"/>
        </w:rPr>
        <w:t xml:space="preserve">My </w:t>
      </w:r>
      <w:r w:rsidR="0003001F">
        <w:rPr>
          <w:szCs w:val="22"/>
        </w:rPr>
        <w:t>master’s</w:t>
      </w:r>
      <w:r w:rsidR="00E55852">
        <w:rPr>
          <w:szCs w:val="22"/>
        </w:rPr>
        <w:t xml:space="preserve"> degree in Social and Behavioral Interventions in International Health has been key in my ability to work on the development of interventions to address HIV prevention for MSM and TW. This proposal will capitalize on my past experience to now work toward </w:t>
      </w:r>
      <w:r w:rsidRPr="001616B6">
        <w:rPr>
          <w:szCs w:val="22"/>
        </w:rPr>
        <w:t xml:space="preserve">improving linkage to and engagement in HIV care among </w:t>
      </w:r>
      <w:r w:rsidR="005C178A">
        <w:rPr>
          <w:szCs w:val="22"/>
        </w:rPr>
        <w:t xml:space="preserve">people </w:t>
      </w:r>
      <w:r w:rsidR="0003001F">
        <w:rPr>
          <w:szCs w:val="22"/>
        </w:rPr>
        <w:t xml:space="preserve">living with HIV. As the study </w:t>
      </w:r>
      <w:r w:rsidR="005C178A">
        <w:rPr>
          <w:szCs w:val="22"/>
        </w:rPr>
        <w:t>P</w:t>
      </w:r>
      <w:r w:rsidRPr="001616B6">
        <w:rPr>
          <w:szCs w:val="22"/>
        </w:rPr>
        <w:t xml:space="preserve">I, I will oversee </w:t>
      </w:r>
      <w:r w:rsidR="0003001F">
        <w:rPr>
          <w:szCs w:val="22"/>
        </w:rPr>
        <w:t>the implementation of all of the data collection and anal</w:t>
      </w:r>
      <w:r w:rsidR="005C178A">
        <w:rPr>
          <w:szCs w:val="22"/>
        </w:rPr>
        <w:t>ysis.  I will also work with Dr</w:t>
      </w:r>
      <w:r w:rsidR="0003001F">
        <w:rPr>
          <w:szCs w:val="22"/>
        </w:rPr>
        <w:t xml:space="preserve">. </w:t>
      </w:r>
      <w:r w:rsidR="005C178A">
        <w:rPr>
          <w:szCs w:val="22"/>
        </w:rPr>
        <w:t xml:space="preserve">Lescano </w:t>
      </w:r>
      <w:r w:rsidR="0003001F">
        <w:rPr>
          <w:szCs w:val="22"/>
        </w:rPr>
        <w:t xml:space="preserve">to interpret </w:t>
      </w:r>
      <w:r w:rsidR="005C178A">
        <w:rPr>
          <w:szCs w:val="22"/>
        </w:rPr>
        <w:t>results and work toward improving engagement in care and the care of co-infections at the Regional Hospital in Iquitos and use the results to inform care elsewhere</w:t>
      </w:r>
      <w:r w:rsidR="0003001F">
        <w:rPr>
          <w:szCs w:val="22"/>
        </w:rPr>
        <w:t xml:space="preserve">.  I will </w:t>
      </w:r>
      <w:r w:rsidR="005C178A">
        <w:rPr>
          <w:szCs w:val="22"/>
        </w:rPr>
        <w:t xml:space="preserve">oversee </w:t>
      </w:r>
      <w:r w:rsidR="0003001F">
        <w:rPr>
          <w:szCs w:val="22"/>
        </w:rPr>
        <w:t xml:space="preserve">protocol development and the project </w:t>
      </w:r>
      <w:r w:rsidRPr="001616B6">
        <w:rPr>
          <w:szCs w:val="22"/>
        </w:rPr>
        <w:t xml:space="preserve">implementation to assure scientific integrity and data quality for this study. My training in social and behavioral interventions, epidemiology and past work in the design and implementation of formative research, process evaluation, and epidemiologic studies will help with the proposed research.  As a doctoral student at Johns Hopkins, a Post-Doctoral Fellow and now as an Assistant Professor at </w:t>
      </w:r>
      <w:r w:rsidR="004E797F">
        <w:rPr>
          <w:szCs w:val="22"/>
        </w:rPr>
        <w:t>UPCH</w:t>
      </w:r>
      <w:r w:rsidRPr="001616B6">
        <w:rPr>
          <w:szCs w:val="22"/>
        </w:rPr>
        <w:t xml:space="preserve">, I have extensive experience with survey design, </w:t>
      </w:r>
      <w:r w:rsidR="00E55852">
        <w:rPr>
          <w:szCs w:val="22"/>
        </w:rPr>
        <w:t xml:space="preserve">intervention development, </w:t>
      </w:r>
      <w:r w:rsidRPr="001616B6">
        <w:rPr>
          <w:szCs w:val="22"/>
        </w:rPr>
        <w:t>sampling and recruitment methods, the implementation of HIV/STI prevention interventions with MSM and transgender women in Latin America and conducted substantial data analysis on these topics.  I will use my past experience to inform the proposed research.</w:t>
      </w:r>
      <w:r w:rsidR="004E797F">
        <w:rPr>
          <w:szCs w:val="22"/>
        </w:rPr>
        <w:t xml:space="preserve"> </w:t>
      </w:r>
    </w:p>
    <w:p w14:paraId="2AE88FC4" w14:textId="77777777" w:rsidR="006B1D9F" w:rsidRPr="001616B6" w:rsidRDefault="006B1D9F" w:rsidP="006B1D9F">
      <w:pPr>
        <w:pStyle w:val="DataField11pt-Single"/>
        <w:spacing w:before="240" w:after="120"/>
        <w:rPr>
          <w:rStyle w:val="Strong"/>
          <w:szCs w:val="22"/>
        </w:rPr>
      </w:pPr>
      <w:r w:rsidRPr="001616B6">
        <w:rPr>
          <w:rStyle w:val="Strong"/>
          <w:szCs w:val="22"/>
        </w:rPr>
        <w:t>B.</w:t>
      </w:r>
      <w:r w:rsidRPr="001616B6">
        <w:rPr>
          <w:rStyle w:val="Strong"/>
          <w:szCs w:val="22"/>
        </w:rPr>
        <w:tab/>
        <w:t>Positions and Honors</w:t>
      </w:r>
    </w:p>
    <w:p w14:paraId="36E015B7" w14:textId="77777777" w:rsidR="006B1D9F" w:rsidRPr="001616B6" w:rsidRDefault="006B1D9F" w:rsidP="006B1D9F">
      <w:pPr>
        <w:rPr>
          <w:rFonts w:cs="Arial"/>
          <w:b/>
          <w:szCs w:val="22"/>
          <w:u w:val="single"/>
        </w:rPr>
      </w:pPr>
      <w:r w:rsidRPr="001616B6">
        <w:rPr>
          <w:rFonts w:cs="Arial"/>
          <w:b/>
          <w:szCs w:val="22"/>
          <w:u w:val="single"/>
        </w:rPr>
        <w:t>Positions</w:t>
      </w:r>
    </w:p>
    <w:p w14:paraId="4DADDA35" w14:textId="77777777" w:rsidR="006B1D9F" w:rsidRPr="001616B6" w:rsidRDefault="006B1D9F" w:rsidP="006B1D9F">
      <w:pPr>
        <w:ind w:left="142"/>
        <w:rPr>
          <w:rFonts w:cs="Arial"/>
          <w:szCs w:val="22"/>
        </w:rPr>
      </w:pPr>
      <w:r w:rsidRPr="001616B6">
        <w:rPr>
          <w:rFonts w:cs="Arial"/>
          <w:szCs w:val="22"/>
        </w:rPr>
        <w:t>2001 – 2003</w:t>
      </w:r>
      <w:r w:rsidRPr="001616B6">
        <w:rPr>
          <w:rFonts w:cs="Arial"/>
          <w:szCs w:val="22"/>
        </w:rPr>
        <w:tab/>
      </w:r>
      <w:r w:rsidRPr="001616B6">
        <w:rPr>
          <w:rFonts w:cs="Arial"/>
          <w:szCs w:val="22"/>
        </w:rPr>
        <w:tab/>
        <w:t>Peace Corps Volunteer, Dominican Republic</w:t>
      </w:r>
    </w:p>
    <w:p w14:paraId="2198FD18" w14:textId="77777777" w:rsidR="006B1D9F" w:rsidRPr="001616B6" w:rsidRDefault="006B1D9F" w:rsidP="006B1D9F">
      <w:pPr>
        <w:pStyle w:val="DataField"/>
        <w:ind w:left="142"/>
      </w:pPr>
      <w:r w:rsidRPr="001616B6">
        <w:t>2004 – 2008</w:t>
      </w:r>
      <w:r w:rsidRPr="001616B6">
        <w:tab/>
      </w:r>
      <w:r w:rsidRPr="001616B6">
        <w:tab/>
        <w:t>Research Associate, UCLA, School of Medicine</w:t>
      </w:r>
    </w:p>
    <w:p w14:paraId="05325365" w14:textId="77777777" w:rsidR="006B1D9F" w:rsidRPr="001616B6" w:rsidRDefault="006B1D9F" w:rsidP="006B1D9F">
      <w:pPr>
        <w:pStyle w:val="DataField"/>
        <w:ind w:left="142"/>
      </w:pPr>
      <w:r w:rsidRPr="001616B6">
        <w:t>2007 – 2008</w:t>
      </w:r>
      <w:r w:rsidRPr="001616B6">
        <w:tab/>
      </w:r>
      <w:r w:rsidRPr="001616B6">
        <w:tab/>
        <w:t>Research Associate, Johns Hopkins, School of Public Health</w:t>
      </w:r>
    </w:p>
    <w:p w14:paraId="76B5FCB7" w14:textId="77777777" w:rsidR="006B1D9F" w:rsidRPr="001616B6" w:rsidRDefault="006B1D9F" w:rsidP="006B1D9F">
      <w:pPr>
        <w:ind w:left="1800" w:hanging="1658"/>
        <w:rPr>
          <w:rFonts w:cs="Arial"/>
          <w:szCs w:val="22"/>
        </w:rPr>
      </w:pPr>
      <w:r w:rsidRPr="001616B6">
        <w:rPr>
          <w:rFonts w:cs="Arial"/>
          <w:szCs w:val="22"/>
        </w:rPr>
        <w:lastRenderedPageBreak/>
        <w:t>2013 – Present</w:t>
      </w:r>
      <w:r w:rsidRPr="001616B6">
        <w:rPr>
          <w:rFonts w:cs="Arial"/>
          <w:szCs w:val="22"/>
        </w:rPr>
        <w:tab/>
        <w:t>Assistant Professor, Program in Global Health, David Geffen School of Medicine, Division of Infectious Diseases, University of California, Los Angeles</w:t>
      </w:r>
    </w:p>
    <w:p w14:paraId="3EACED12" w14:textId="77777777" w:rsidR="006B1D9F" w:rsidRPr="001616B6" w:rsidRDefault="006B1D9F" w:rsidP="006B1D9F">
      <w:pPr>
        <w:pStyle w:val="DataField11pt-Single"/>
        <w:rPr>
          <w:szCs w:val="22"/>
        </w:rPr>
      </w:pPr>
    </w:p>
    <w:p w14:paraId="0B0F974C" w14:textId="77777777" w:rsidR="006B1D9F" w:rsidRPr="001616B6" w:rsidRDefault="006B1D9F" w:rsidP="006B1D9F">
      <w:pPr>
        <w:pStyle w:val="Heading1"/>
        <w:ind w:left="142"/>
        <w:jc w:val="left"/>
        <w:rPr>
          <w:u w:val="single"/>
        </w:rPr>
      </w:pPr>
    </w:p>
    <w:p w14:paraId="702BE439" w14:textId="77777777" w:rsidR="006B1D9F" w:rsidRPr="001616B6" w:rsidRDefault="006B1D9F" w:rsidP="006B1D9F">
      <w:pPr>
        <w:pStyle w:val="Heading1"/>
        <w:ind w:left="142"/>
        <w:jc w:val="left"/>
        <w:rPr>
          <w:u w:val="single"/>
        </w:rPr>
      </w:pPr>
      <w:r w:rsidRPr="001616B6">
        <w:rPr>
          <w:u w:val="single"/>
        </w:rPr>
        <w:t>Academic and Professional Honors and Awards</w:t>
      </w:r>
    </w:p>
    <w:p w14:paraId="5EDF3F96" w14:textId="77777777" w:rsidR="006B1D9F" w:rsidRPr="001616B6" w:rsidRDefault="006B1D9F" w:rsidP="006B1D9F">
      <w:pPr>
        <w:ind w:left="1440" w:hanging="1298"/>
        <w:rPr>
          <w:rFonts w:cs="Arial"/>
          <w:bCs/>
          <w:szCs w:val="22"/>
        </w:rPr>
      </w:pPr>
      <w:r w:rsidRPr="001616B6">
        <w:rPr>
          <w:rFonts w:cs="Arial"/>
          <w:bCs/>
          <w:szCs w:val="22"/>
        </w:rPr>
        <w:t xml:space="preserve">2006 – 2008 </w:t>
      </w:r>
      <w:r w:rsidRPr="001616B6">
        <w:rPr>
          <w:rFonts w:cs="Arial"/>
          <w:bCs/>
          <w:szCs w:val="22"/>
        </w:rPr>
        <w:tab/>
      </w:r>
      <w:r w:rsidRPr="001616B6">
        <w:rPr>
          <w:rFonts w:cs="Arial"/>
          <w:bCs/>
          <w:szCs w:val="22"/>
        </w:rPr>
        <w:tab/>
        <w:t xml:space="preserve">Mary B. Meyer Memorial Fund, stipend and tuition for doctoral program. Johns Hopkins </w:t>
      </w:r>
      <w:r w:rsidRPr="001616B6">
        <w:rPr>
          <w:rFonts w:cs="Arial"/>
          <w:bCs/>
          <w:szCs w:val="22"/>
        </w:rPr>
        <w:tab/>
        <w:t>School of Public Health</w:t>
      </w:r>
    </w:p>
    <w:p w14:paraId="35975873" w14:textId="77777777" w:rsidR="006B1D9F" w:rsidRPr="001616B6" w:rsidRDefault="006B1D9F" w:rsidP="006B1D9F">
      <w:pPr>
        <w:ind w:left="142"/>
        <w:rPr>
          <w:rFonts w:cs="Arial"/>
          <w:bCs/>
          <w:szCs w:val="22"/>
        </w:rPr>
      </w:pPr>
      <w:r w:rsidRPr="001616B6">
        <w:rPr>
          <w:rFonts w:cs="Arial"/>
          <w:bCs/>
          <w:szCs w:val="22"/>
        </w:rPr>
        <w:t>2008 – 2010</w:t>
      </w:r>
      <w:r w:rsidRPr="001616B6">
        <w:rPr>
          <w:rFonts w:cs="Arial"/>
          <w:bCs/>
          <w:szCs w:val="22"/>
        </w:rPr>
        <w:tab/>
      </w:r>
      <w:r w:rsidRPr="001616B6">
        <w:rPr>
          <w:rFonts w:cs="Arial"/>
          <w:bCs/>
          <w:szCs w:val="22"/>
        </w:rPr>
        <w:tab/>
        <w:t xml:space="preserve">Ruth L. </w:t>
      </w:r>
      <w:proofErr w:type="spellStart"/>
      <w:r w:rsidRPr="001616B6">
        <w:rPr>
          <w:rFonts w:cs="Arial"/>
          <w:bCs/>
          <w:szCs w:val="22"/>
        </w:rPr>
        <w:t>Kirschstein</w:t>
      </w:r>
      <w:proofErr w:type="spellEnd"/>
      <w:r w:rsidRPr="001616B6">
        <w:rPr>
          <w:rFonts w:cs="Arial"/>
          <w:bCs/>
          <w:szCs w:val="22"/>
        </w:rPr>
        <w:t xml:space="preserve"> National Research Service Award, stipend and tuition to complete </w:t>
      </w:r>
      <w:r w:rsidRPr="001616B6">
        <w:rPr>
          <w:rFonts w:cs="Arial"/>
          <w:bCs/>
          <w:szCs w:val="22"/>
        </w:rPr>
        <w:tab/>
      </w:r>
      <w:r w:rsidRPr="001616B6">
        <w:rPr>
          <w:rFonts w:cs="Arial"/>
          <w:bCs/>
          <w:szCs w:val="22"/>
        </w:rPr>
        <w:tab/>
      </w:r>
      <w:r w:rsidRPr="001616B6">
        <w:rPr>
          <w:rFonts w:cs="Arial"/>
          <w:bCs/>
          <w:szCs w:val="22"/>
        </w:rPr>
        <w:tab/>
      </w:r>
      <w:r w:rsidRPr="001616B6">
        <w:rPr>
          <w:rFonts w:cs="Arial"/>
          <w:bCs/>
          <w:szCs w:val="22"/>
        </w:rPr>
        <w:tab/>
      </w:r>
      <w:r w:rsidRPr="001616B6">
        <w:rPr>
          <w:rFonts w:cs="Arial"/>
          <w:bCs/>
          <w:szCs w:val="22"/>
        </w:rPr>
        <w:tab/>
      </w:r>
      <w:r w:rsidRPr="001616B6">
        <w:rPr>
          <w:rFonts w:cs="Arial"/>
          <w:bCs/>
          <w:szCs w:val="22"/>
        </w:rPr>
        <w:tab/>
      </w:r>
      <w:r w:rsidRPr="001616B6">
        <w:rPr>
          <w:rFonts w:cs="Arial"/>
          <w:bCs/>
          <w:szCs w:val="22"/>
        </w:rPr>
        <w:tab/>
        <w:t>doctoral program. National Institute of Mental Health, grant 1F31MH084765-01.</w:t>
      </w:r>
    </w:p>
    <w:p w14:paraId="0A291064" w14:textId="77777777" w:rsidR="006B1D9F" w:rsidRPr="001616B6" w:rsidRDefault="006B1D9F" w:rsidP="006B1D9F">
      <w:pPr>
        <w:pStyle w:val="DataField11pt-Single"/>
        <w:rPr>
          <w:szCs w:val="22"/>
        </w:rPr>
      </w:pPr>
      <w:r w:rsidRPr="001616B6">
        <w:rPr>
          <w:szCs w:val="22"/>
        </w:rPr>
        <w:t xml:space="preserve">  2010 - 2013</w:t>
      </w:r>
      <w:r w:rsidRPr="001616B6">
        <w:rPr>
          <w:szCs w:val="22"/>
        </w:rPr>
        <w:tab/>
      </w:r>
      <w:r w:rsidRPr="001616B6">
        <w:rPr>
          <w:szCs w:val="22"/>
        </w:rPr>
        <w:tab/>
        <w:t xml:space="preserve">Postdoctoral Fellowship through NIH NIMH grant T32MH080634-03, Program in Global </w:t>
      </w:r>
      <w:r w:rsidRPr="001616B6">
        <w:rPr>
          <w:szCs w:val="22"/>
        </w:rPr>
        <w:tab/>
      </w:r>
      <w:r w:rsidRPr="001616B6">
        <w:rPr>
          <w:szCs w:val="22"/>
        </w:rPr>
        <w:tab/>
      </w:r>
      <w:r w:rsidRPr="001616B6">
        <w:rPr>
          <w:szCs w:val="22"/>
        </w:rPr>
        <w:tab/>
      </w:r>
      <w:r w:rsidRPr="001616B6">
        <w:rPr>
          <w:szCs w:val="22"/>
        </w:rPr>
        <w:tab/>
      </w:r>
      <w:r w:rsidRPr="001616B6">
        <w:rPr>
          <w:szCs w:val="22"/>
        </w:rPr>
        <w:tab/>
      </w:r>
      <w:r w:rsidRPr="001616B6">
        <w:rPr>
          <w:szCs w:val="22"/>
        </w:rPr>
        <w:tab/>
      </w:r>
      <w:r w:rsidRPr="001616B6">
        <w:rPr>
          <w:szCs w:val="22"/>
        </w:rPr>
        <w:tab/>
        <w:t xml:space="preserve">Health, David Geffen School of Medicine, Division of Infectious Diseases, University of </w:t>
      </w:r>
      <w:r w:rsidRPr="001616B6">
        <w:rPr>
          <w:szCs w:val="22"/>
        </w:rPr>
        <w:tab/>
      </w:r>
      <w:r w:rsidRPr="001616B6">
        <w:rPr>
          <w:szCs w:val="22"/>
        </w:rPr>
        <w:tab/>
      </w:r>
      <w:r w:rsidRPr="001616B6">
        <w:rPr>
          <w:szCs w:val="22"/>
        </w:rPr>
        <w:tab/>
      </w:r>
      <w:r w:rsidRPr="001616B6">
        <w:rPr>
          <w:szCs w:val="22"/>
        </w:rPr>
        <w:tab/>
      </w:r>
      <w:r w:rsidRPr="001616B6">
        <w:rPr>
          <w:szCs w:val="22"/>
        </w:rPr>
        <w:tab/>
      </w:r>
      <w:r w:rsidRPr="001616B6">
        <w:rPr>
          <w:szCs w:val="22"/>
        </w:rPr>
        <w:tab/>
      </w:r>
      <w:r w:rsidRPr="001616B6">
        <w:rPr>
          <w:szCs w:val="22"/>
        </w:rPr>
        <w:tab/>
        <w:t xml:space="preserve">California, Los Angeles.  </w:t>
      </w:r>
    </w:p>
    <w:p w14:paraId="64669349" w14:textId="77777777" w:rsidR="006B1D9F" w:rsidRPr="001616B6" w:rsidRDefault="006B1D9F" w:rsidP="006B1D9F">
      <w:pPr>
        <w:pStyle w:val="DataField11pt-Single"/>
        <w:rPr>
          <w:rStyle w:val="Strong"/>
          <w:szCs w:val="22"/>
        </w:rPr>
      </w:pPr>
    </w:p>
    <w:p w14:paraId="4E2D31E2" w14:textId="77777777" w:rsidR="006B1D9F" w:rsidRPr="001616B6" w:rsidRDefault="006B1D9F" w:rsidP="006B1D9F">
      <w:pPr>
        <w:pStyle w:val="DataField11pt-Single"/>
        <w:rPr>
          <w:rStyle w:val="Strong"/>
          <w:szCs w:val="22"/>
        </w:rPr>
      </w:pPr>
      <w:r w:rsidRPr="001616B6">
        <w:rPr>
          <w:rStyle w:val="Strong"/>
          <w:szCs w:val="22"/>
        </w:rPr>
        <w:t>C.</w:t>
      </w:r>
      <w:r w:rsidRPr="001616B6">
        <w:rPr>
          <w:rStyle w:val="Strong"/>
          <w:szCs w:val="22"/>
        </w:rPr>
        <w:tab/>
        <w:t>Contribution to Science</w:t>
      </w:r>
    </w:p>
    <w:p w14:paraId="36DF8730" w14:textId="77777777" w:rsidR="006B1D9F" w:rsidRPr="001616B6" w:rsidRDefault="006B1D9F" w:rsidP="006B1D9F">
      <w:pPr>
        <w:pStyle w:val="DataField11pt-Single"/>
        <w:rPr>
          <w:rStyle w:val="Strong"/>
          <w:szCs w:val="22"/>
        </w:rPr>
      </w:pPr>
    </w:p>
    <w:p w14:paraId="38521F58" w14:textId="77777777" w:rsidR="006B1D9F" w:rsidRPr="001616B6" w:rsidRDefault="006B1D9F" w:rsidP="006B1D9F">
      <w:pPr>
        <w:pStyle w:val="DataField11pt-Single"/>
        <w:numPr>
          <w:ilvl w:val="0"/>
          <w:numId w:val="20"/>
        </w:numPr>
        <w:rPr>
          <w:rStyle w:val="Strong"/>
          <w:szCs w:val="22"/>
        </w:rPr>
      </w:pPr>
      <w:r w:rsidRPr="001616B6">
        <w:rPr>
          <w:rStyle w:val="Strong"/>
          <w:szCs w:val="22"/>
        </w:rPr>
        <w:t>Epidemiology of HIV among MSM and Transgender women in Peru</w:t>
      </w:r>
    </w:p>
    <w:p w14:paraId="418943D1" w14:textId="77777777" w:rsidR="006B1D9F" w:rsidRPr="001616B6" w:rsidRDefault="006B1D9F" w:rsidP="006B1D9F">
      <w:pPr>
        <w:pStyle w:val="DataField11pt-Single"/>
        <w:ind w:left="720"/>
        <w:rPr>
          <w:rStyle w:val="Strong"/>
          <w:b w:val="0"/>
          <w:szCs w:val="22"/>
        </w:rPr>
      </w:pPr>
      <w:r w:rsidRPr="001616B6">
        <w:rPr>
          <w:rStyle w:val="Strong"/>
          <w:b w:val="0"/>
          <w:szCs w:val="22"/>
        </w:rPr>
        <w:t xml:space="preserve">My work on the epidemiology of HIV in Peru has led to our in-depth understanding of the distribution of these infections by a variety of socio-demographics and sexual risk behaviors among MSM and Transgender Women. </w:t>
      </w:r>
    </w:p>
    <w:p w14:paraId="49FB8264" w14:textId="77777777" w:rsidR="006B1D9F" w:rsidRPr="001616B6" w:rsidRDefault="006B1D9F" w:rsidP="006B1D9F">
      <w:pPr>
        <w:pStyle w:val="ListParagraph"/>
        <w:numPr>
          <w:ilvl w:val="1"/>
          <w:numId w:val="20"/>
        </w:numPr>
        <w:adjustRightInd w:val="0"/>
        <w:rPr>
          <w:rFonts w:cs="Arial"/>
          <w:szCs w:val="22"/>
        </w:rPr>
      </w:pPr>
      <w:proofErr w:type="spellStart"/>
      <w:r w:rsidRPr="001616B6">
        <w:rPr>
          <w:rFonts w:cs="Arial"/>
          <w:szCs w:val="22"/>
          <w:lang w:val="es-ES"/>
        </w:rPr>
        <w:t>Chow</w:t>
      </w:r>
      <w:proofErr w:type="spellEnd"/>
      <w:r w:rsidRPr="001616B6">
        <w:rPr>
          <w:rFonts w:cs="Arial"/>
          <w:szCs w:val="22"/>
          <w:lang w:val="es-ES"/>
        </w:rPr>
        <w:t xml:space="preserve"> JY, </w:t>
      </w:r>
      <w:r w:rsidRPr="001616B6">
        <w:rPr>
          <w:rFonts w:cs="Arial"/>
          <w:b/>
          <w:szCs w:val="22"/>
          <w:u w:val="single"/>
          <w:lang w:val="es-ES"/>
        </w:rPr>
        <w:t>Konda KA,</w:t>
      </w:r>
      <w:r w:rsidRPr="001616B6">
        <w:rPr>
          <w:rFonts w:cs="Arial"/>
          <w:szCs w:val="22"/>
          <w:lang w:val="es-ES"/>
        </w:rPr>
        <w:t xml:space="preserve"> Borquez A, Caballero P, Silva-Santisteban A, Klausner JD, et al. </w:t>
      </w:r>
      <w:r w:rsidRPr="001616B6">
        <w:rPr>
          <w:rFonts w:cs="Arial"/>
          <w:szCs w:val="22"/>
        </w:rPr>
        <w:t xml:space="preserve">Peru's HIV care continuum among men who have sex with men and transgender women: opportunities to optimize treatment and prevention. </w:t>
      </w:r>
      <w:proofErr w:type="spellStart"/>
      <w:r w:rsidRPr="001616B6">
        <w:rPr>
          <w:rFonts w:cs="Arial"/>
          <w:szCs w:val="22"/>
        </w:rPr>
        <w:t>Int</w:t>
      </w:r>
      <w:proofErr w:type="spellEnd"/>
      <w:r w:rsidRPr="001616B6">
        <w:rPr>
          <w:rFonts w:cs="Arial"/>
          <w:szCs w:val="22"/>
        </w:rPr>
        <w:t xml:space="preserve"> J STD AIDS. 2016. PMID 27099168. NIHMS ID: NIHMS789407. PMCID in process. </w:t>
      </w:r>
    </w:p>
    <w:p w14:paraId="50C60B85" w14:textId="77777777" w:rsidR="006B1D9F" w:rsidRPr="001616B6" w:rsidRDefault="006B1D9F" w:rsidP="006B1D9F">
      <w:pPr>
        <w:pStyle w:val="ListParagraph"/>
        <w:numPr>
          <w:ilvl w:val="1"/>
          <w:numId w:val="20"/>
        </w:numPr>
        <w:adjustRightInd w:val="0"/>
        <w:rPr>
          <w:rFonts w:cs="Arial"/>
          <w:szCs w:val="22"/>
        </w:rPr>
      </w:pPr>
      <w:r w:rsidRPr="001616B6">
        <w:rPr>
          <w:rFonts w:cs="Arial"/>
          <w:szCs w:val="22"/>
          <w:lang w:val="es-ES"/>
        </w:rPr>
        <w:t xml:space="preserve">Castillo R, </w:t>
      </w:r>
      <w:r w:rsidRPr="001616B6">
        <w:rPr>
          <w:rFonts w:cs="Arial"/>
          <w:b/>
          <w:szCs w:val="22"/>
          <w:u w:val="single"/>
          <w:lang w:val="es-ES"/>
        </w:rPr>
        <w:t>Konda KA,</w:t>
      </w:r>
      <w:r w:rsidRPr="001616B6">
        <w:rPr>
          <w:rFonts w:cs="Arial"/>
          <w:szCs w:val="22"/>
          <w:lang w:val="es-ES"/>
        </w:rPr>
        <w:t xml:space="preserve"> Leon SR, Silva-Santisteban A, Salazar X, Klausner JD, et al. </w:t>
      </w:r>
      <w:r w:rsidRPr="001616B6">
        <w:rPr>
          <w:rFonts w:cs="Arial"/>
          <w:szCs w:val="22"/>
        </w:rPr>
        <w:t xml:space="preserve">HIV and Sexually Transmitted Infection Incidence and Associated Risk Factors Among High-Risk MSM and Male-to-Female Transgender Women in Lima, Peru. J </w:t>
      </w:r>
      <w:proofErr w:type="spellStart"/>
      <w:r w:rsidRPr="001616B6">
        <w:rPr>
          <w:rFonts w:cs="Arial"/>
          <w:szCs w:val="22"/>
        </w:rPr>
        <w:t>Acquir</w:t>
      </w:r>
      <w:proofErr w:type="spellEnd"/>
      <w:r w:rsidRPr="001616B6">
        <w:rPr>
          <w:rFonts w:cs="Arial"/>
          <w:szCs w:val="22"/>
        </w:rPr>
        <w:t xml:space="preserve"> Immune </w:t>
      </w:r>
      <w:proofErr w:type="spellStart"/>
      <w:r w:rsidRPr="001616B6">
        <w:rPr>
          <w:rFonts w:cs="Arial"/>
          <w:szCs w:val="22"/>
        </w:rPr>
        <w:t>Defic</w:t>
      </w:r>
      <w:proofErr w:type="spellEnd"/>
      <w:r w:rsidRPr="001616B6">
        <w:rPr>
          <w:rFonts w:cs="Arial"/>
          <w:szCs w:val="22"/>
        </w:rPr>
        <w:t xml:space="preserve"> </w:t>
      </w:r>
      <w:proofErr w:type="spellStart"/>
      <w:r w:rsidRPr="001616B6">
        <w:rPr>
          <w:rFonts w:cs="Arial"/>
          <w:szCs w:val="22"/>
        </w:rPr>
        <w:t>Syndr</w:t>
      </w:r>
      <w:proofErr w:type="spellEnd"/>
      <w:r w:rsidRPr="001616B6">
        <w:rPr>
          <w:rFonts w:cs="Arial"/>
          <w:szCs w:val="22"/>
        </w:rPr>
        <w:t>. 2015</w:t>
      </w:r>
      <w:proofErr w:type="gramStart"/>
      <w:r w:rsidRPr="001616B6">
        <w:rPr>
          <w:rFonts w:cs="Arial"/>
          <w:szCs w:val="22"/>
        </w:rPr>
        <w:t>;69</w:t>
      </w:r>
      <w:proofErr w:type="gramEnd"/>
      <w:r w:rsidRPr="001616B6">
        <w:rPr>
          <w:rFonts w:cs="Arial"/>
          <w:szCs w:val="22"/>
        </w:rPr>
        <w:t>(5):567-75. PMCID: PMC4501868.</w:t>
      </w:r>
    </w:p>
    <w:p w14:paraId="58B4DB4F" w14:textId="77777777" w:rsidR="006B1D9F" w:rsidRPr="001616B6" w:rsidRDefault="006B1D9F" w:rsidP="006B1D9F">
      <w:pPr>
        <w:pStyle w:val="DataField11pt-Single"/>
        <w:ind w:left="720"/>
        <w:rPr>
          <w:rStyle w:val="Strong"/>
          <w:szCs w:val="22"/>
        </w:rPr>
      </w:pPr>
    </w:p>
    <w:p w14:paraId="2D4E586A" w14:textId="77777777" w:rsidR="006B1D9F" w:rsidRPr="001616B6" w:rsidRDefault="006B1D9F" w:rsidP="006B1D9F">
      <w:pPr>
        <w:pStyle w:val="DataField11pt-Single"/>
        <w:numPr>
          <w:ilvl w:val="0"/>
          <w:numId w:val="20"/>
        </w:numPr>
        <w:rPr>
          <w:rStyle w:val="Strong"/>
          <w:szCs w:val="22"/>
        </w:rPr>
      </w:pPr>
      <w:r w:rsidRPr="001616B6">
        <w:rPr>
          <w:rStyle w:val="Strong"/>
          <w:szCs w:val="22"/>
        </w:rPr>
        <w:t>The difficulties surrounding HIV testing and HIV status communication for MSM and Transgender women in Peru.</w:t>
      </w:r>
    </w:p>
    <w:p w14:paraId="31A2B7DF" w14:textId="77777777" w:rsidR="006B1D9F" w:rsidRPr="001616B6" w:rsidRDefault="006B1D9F" w:rsidP="006B1D9F">
      <w:pPr>
        <w:pStyle w:val="DataField11pt-Single"/>
        <w:numPr>
          <w:ilvl w:val="0"/>
          <w:numId w:val="21"/>
        </w:numPr>
        <w:rPr>
          <w:rStyle w:val="Strong"/>
          <w:b w:val="0"/>
          <w:szCs w:val="22"/>
        </w:rPr>
      </w:pPr>
      <w:r w:rsidRPr="001616B6">
        <w:rPr>
          <w:rStyle w:val="Strong"/>
          <w:szCs w:val="22"/>
          <w:u w:val="single"/>
          <w:lang w:val="es-ES"/>
        </w:rPr>
        <w:t>Konda KA</w:t>
      </w:r>
      <w:r w:rsidRPr="001616B6">
        <w:rPr>
          <w:rStyle w:val="Strong"/>
          <w:b w:val="0"/>
          <w:szCs w:val="22"/>
          <w:lang w:val="es-ES"/>
        </w:rPr>
        <w:t xml:space="preserve">, Castillo R, Leon SR, Silva-Santisteban A, Salazar X, Klausner JD, et al. </w:t>
      </w:r>
      <w:r w:rsidRPr="001616B6">
        <w:rPr>
          <w:rStyle w:val="Strong"/>
          <w:b w:val="0"/>
          <w:szCs w:val="22"/>
        </w:rPr>
        <w:t xml:space="preserve">HIV Status Communication with Sex Partners and Associated Factors </w:t>
      </w:r>
      <w:proofErr w:type="gramStart"/>
      <w:r w:rsidRPr="001616B6">
        <w:rPr>
          <w:rStyle w:val="Strong"/>
          <w:b w:val="0"/>
          <w:szCs w:val="22"/>
        </w:rPr>
        <w:t>Among</w:t>
      </w:r>
      <w:proofErr w:type="gramEnd"/>
      <w:r w:rsidRPr="001616B6">
        <w:rPr>
          <w:rStyle w:val="Strong"/>
          <w:b w:val="0"/>
          <w:szCs w:val="22"/>
        </w:rPr>
        <w:t xml:space="preserve"> High-Risk MSM and Transgender Women in Lima, Peru. AIDS </w:t>
      </w:r>
      <w:proofErr w:type="spellStart"/>
      <w:r w:rsidRPr="001616B6">
        <w:rPr>
          <w:rStyle w:val="Strong"/>
          <w:b w:val="0"/>
          <w:szCs w:val="22"/>
        </w:rPr>
        <w:t>Behav</w:t>
      </w:r>
      <w:proofErr w:type="spellEnd"/>
      <w:r w:rsidRPr="001616B6">
        <w:rPr>
          <w:rStyle w:val="Strong"/>
          <w:b w:val="0"/>
          <w:szCs w:val="22"/>
        </w:rPr>
        <w:t>. 2016. PMCID in process. NIHMS ID: NIHMS793246</w:t>
      </w:r>
      <w:r>
        <w:rPr>
          <w:rStyle w:val="Strong"/>
          <w:b w:val="0"/>
          <w:szCs w:val="22"/>
        </w:rPr>
        <w:t>.</w:t>
      </w:r>
    </w:p>
    <w:p w14:paraId="4A74A5ED" w14:textId="77777777" w:rsidR="006B1D9F" w:rsidRPr="001616B6" w:rsidRDefault="006B1D9F" w:rsidP="006B1D9F">
      <w:pPr>
        <w:pStyle w:val="DataField11pt-Single"/>
        <w:numPr>
          <w:ilvl w:val="0"/>
          <w:numId w:val="21"/>
        </w:numPr>
        <w:rPr>
          <w:rStyle w:val="Strong"/>
          <w:b w:val="0"/>
          <w:szCs w:val="22"/>
        </w:rPr>
      </w:pPr>
      <w:r w:rsidRPr="001616B6">
        <w:rPr>
          <w:rStyle w:val="Strong"/>
          <w:b w:val="0"/>
          <w:szCs w:val="22"/>
          <w:lang w:val="es-ES"/>
        </w:rPr>
        <w:t xml:space="preserve">Herrera MC, </w:t>
      </w:r>
      <w:r w:rsidRPr="001616B6">
        <w:rPr>
          <w:rStyle w:val="Strong"/>
          <w:szCs w:val="22"/>
          <w:u w:val="single"/>
          <w:lang w:val="es-ES"/>
        </w:rPr>
        <w:t>Konda KA</w:t>
      </w:r>
      <w:r w:rsidRPr="001616B6">
        <w:rPr>
          <w:rStyle w:val="Strong"/>
          <w:b w:val="0"/>
          <w:szCs w:val="22"/>
          <w:lang w:val="es-ES"/>
        </w:rPr>
        <w:t xml:space="preserve">, Leon SR, Deiss R, Brown B, Calvo GM, et al. </w:t>
      </w:r>
      <w:r w:rsidRPr="001616B6">
        <w:rPr>
          <w:rStyle w:val="Strong"/>
          <w:b w:val="0"/>
          <w:szCs w:val="22"/>
        </w:rPr>
        <w:t>Impact of alcohol use on sexual behavior among men who have sex with men and transgender women in Lima, Peru. Drug and alcohol dependence. 2016</w:t>
      </w:r>
      <w:proofErr w:type="gramStart"/>
      <w:r w:rsidRPr="001616B6">
        <w:rPr>
          <w:rStyle w:val="Strong"/>
          <w:b w:val="0"/>
          <w:szCs w:val="22"/>
        </w:rPr>
        <w:t>;161:147</w:t>
      </w:r>
      <w:proofErr w:type="gramEnd"/>
      <w:r w:rsidRPr="001616B6">
        <w:rPr>
          <w:rStyle w:val="Strong"/>
          <w:b w:val="0"/>
          <w:szCs w:val="22"/>
        </w:rPr>
        <w:t>-54.</w:t>
      </w:r>
      <w:r>
        <w:rPr>
          <w:rStyle w:val="Strong"/>
          <w:b w:val="0"/>
          <w:szCs w:val="22"/>
        </w:rPr>
        <w:t xml:space="preserve"> </w:t>
      </w:r>
      <w:r w:rsidRPr="001616B6">
        <w:rPr>
          <w:rStyle w:val="Strong"/>
          <w:b w:val="0"/>
          <w:szCs w:val="22"/>
        </w:rPr>
        <w:t>PMCID: PMC4807690</w:t>
      </w:r>
      <w:r>
        <w:rPr>
          <w:rStyle w:val="Strong"/>
          <w:b w:val="0"/>
          <w:szCs w:val="22"/>
        </w:rPr>
        <w:t>.</w:t>
      </w:r>
    </w:p>
    <w:p w14:paraId="780E4C9C" w14:textId="77777777" w:rsidR="006B1D9F" w:rsidRPr="001616B6" w:rsidRDefault="006B1D9F" w:rsidP="006B1D9F">
      <w:pPr>
        <w:pStyle w:val="DataField11pt-Single"/>
        <w:numPr>
          <w:ilvl w:val="0"/>
          <w:numId w:val="21"/>
        </w:numPr>
        <w:rPr>
          <w:rStyle w:val="Strong"/>
          <w:b w:val="0"/>
          <w:szCs w:val="22"/>
        </w:rPr>
      </w:pPr>
      <w:r w:rsidRPr="001616B6">
        <w:rPr>
          <w:rStyle w:val="Strong"/>
          <w:b w:val="0"/>
          <w:szCs w:val="22"/>
          <w:lang w:val="es-ES"/>
        </w:rPr>
        <w:t xml:space="preserve">Bustamante MJ, </w:t>
      </w:r>
      <w:r w:rsidRPr="001616B6">
        <w:rPr>
          <w:rStyle w:val="Strong"/>
          <w:szCs w:val="22"/>
          <w:u w:val="single"/>
          <w:lang w:val="es-ES"/>
        </w:rPr>
        <w:t>Konda KA</w:t>
      </w:r>
      <w:r w:rsidRPr="001616B6">
        <w:rPr>
          <w:rStyle w:val="Strong"/>
          <w:b w:val="0"/>
          <w:szCs w:val="22"/>
          <w:lang w:val="es-ES"/>
        </w:rPr>
        <w:t xml:space="preserve">, Joseph </w:t>
      </w:r>
      <w:proofErr w:type="spellStart"/>
      <w:r w:rsidRPr="001616B6">
        <w:rPr>
          <w:rStyle w:val="Strong"/>
          <w:b w:val="0"/>
          <w:szCs w:val="22"/>
          <w:lang w:val="es-ES"/>
        </w:rPr>
        <w:t>Davey</w:t>
      </w:r>
      <w:proofErr w:type="spellEnd"/>
      <w:r w:rsidRPr="001616B6">
        <w:rPr>
          <w:rStyle w:val="Strong"/>
          <w:b w:val="0"/>
          <w:szCs w:val="22"/>
          <w:lang w:val="es-ES"/>
        </w:rPr>
        <w:t xml:space="preserve"> D, Leon SR, Calvo GM, Salvatierra J, et al. </w:t>
      </w:r>
      <w:r w:rsidRPr="001616B6">
        <w:rPr>
          <w:rStyle w:val="Strong"/>
          <w:b w:val="0"/>
          <w:szCs w:val="22"/>
        </w:rPr>
        <w:t xml:space="preserve">HIV self-testing in Peru: questionable availability, high acceptability but potential low linkage to care among men who have sex with men and transgender women. </w:t>
      </w:r>
      <w:proofErr w:type="spellStart"/>
      <w:r w:rsidRPr="001616B6">
        <w:rPr>
          <w:rStyle w:val="Strong"/>
          <w:b w:val="0"/>
          <w:szCs w:val="22"/>
        </w:rPr>
        <w:t>Int</w:t>
      </w:r>
      <w:proofErr w:type="spellEnd"/>
      <w:r w:rsidRPr="001616B6">
        <w:rPr>
          <w:rStyle w:val="Strong"/>
          <w:b w:val="0"/>
          <w:szCs w:val="22"/>
        </w:rPr>
        <w:t xml:space="preserve"> J STD AIDS. 2016.</w:t>
      </w:r>
      <w:r>
        <w:rPr>
          <w:rStyle w:val="Strong"/>
          <w:b w:val="0"/>
          <w:szCs w:val="22"/>
        </w:rPr>
        <w:t xml:space="preserve"> PMCID in process. </w:t>
      </w:r>
      <w:r w:rsidRPr="001616B6">
        <w:rPr>
          <w:rStyle w:val="Strong"/>
          <w:b w:val="0"/>
          <w:szCs w:val="22"/>
        </w:rPr>
        <w:t>NIHMS ID: NIHMS785764</w:t>
      </w:r>
      <w:r>
        <w:rPr>
          <w:rStyle w:val="Strong"/>
          <w:b w:val="0"/>
          <w:szCs w:val="22"/>
        </w:rPr>
        <w:t>.</w:t>
      </w:r>
    </w:p>
    <w:p w14:paraId="579E02DE" w14:textId="77777777" w:rsidR="006B1D9F" w:rsidRPr="001616B6" w:rsidRDefault="006B1D9F" w:rsidP="006B1D9F">
      <w:pPr>
        <w:pStyle w:val="DataField11pt-Single"/>
        <w:numPr>
          <w:ilvl w:val="0"/>
          <w:numId w:val="21"/>
        </w:numPr>
        <w:rPr>
          <w:rStyle w:val="Strong"/>
          <w:b w:val="0"/>
          <w:szCs w:val="22"/>
        </w:rPr>
      </w:pPr>
      <w:r w:rsidRPr="001616B6">
        <w:rPr>
          <w:rStyle w:val="Strong"/>
          <w:b w:val="0"/>
          <w:szCs w:val="22"/>
          <w:lang w:val="es-ES"/>
        </w:rPr>
        <w:t xml:space="preserve">Brown SE, </w:t>
      </w:r>
      <w:proofErr w:type="spellStart"/>
      <w:r w:rsidRPr="001616B6">
        <w:rPr>
          <w:rStyle w:val="Strong"/>
          <w:b w:val="0"/>
          <w:szCs w:val="22"/>
          <w:lang w:val="es-ES"/>
        </w:rPr>
        <w:t>Vagenas</w:t>
      </w:r>
      <w:proofErr w:type="spellEnd"/>
      <w:r w:rsidRPr="001616B6">
        <w:rPr>
          <w:rStyle w:val="Strong"/>
          <w:b w:val="0"/>
          <w:szCs w:val="22"/>
          <w:lang w:val="es-ES"/>
        </w:rPr>
        <w:t xml:space="preserve"> P, </w:t>
      </w:r>
      <w:r w:rsidRPr="001616B6">
        <w:rPr>
          <w:rStyle w:val="Strong"/>
          <w:szCs w:val="22"/>
          <w:u w:val="single"/>
          <w:lang w:val="es-ES"/>
        </w:rPr>
        <w:t>Konda KA</w:t>
      </w:r>
      <w:r w:rsidRPr="001616B6">
        <w:rPr>
          <w:rStyle w:val="Strong"/>
          <w:b w:val="0"/>
          <w:szCs w:val="22"/>
          <w:lang w:val="es-ES"/>
        </w:rPr>
        <w:t xml:space="preserve">, Clark JL, Lama JR, Gonzales P, et al. </w:t>
      </w:r>
      <w:r w:rsidRPr="001616B6">
        <w:rPr>
          <w:rStyle w:val="Strong"/>
          <w:b w:val="0"/>
          <w:szCs w:val="22"/>
        </w:rPr>
        <w:t>Men Who Have Sex With Men in Peru: Acceptability of Medication-Assisted Therapy for Treating Alcohol Use Disorders. American journal of men's health. 2015.</w:t>
      </w:r>
      <w:r>
        <w:rPr>
          <w:rStyle w:val="Strong"/>
          <w:b w:val="0"/>
          <w:szCs w:val="22"/>
        </w:rPr>
        <w:t xml:space="preserve"> </w:t>
      </w:r>
      <w:r w:rsidRPr="001616B6">
        <w:rPr>
          <w:rStyle w:val="Strong"/>
          <w:b w:val="0"/>
          <w:szCs w:val="22"/>
        </w:rPr>
        <w:t>PMCID: PMC4573823</w:t>
      </w:r>
      <w:r>
        <w:rPr>
          <w:rStyle w:val="Strong"/>
          <w:b w:val="0"/>
          <w:szCs w:val="22"/>
        </w:rPr>
        <w:t>.</w:t>
      </w:r>
    </w:p>
    <w:p w14:paraId="63E0E4C6" w14:textId="77777777" w:rsidR="006B1D9F" w:rsidRPr="001616B6" w:rsidRDefault="006B1D9F" w:rsidP="006B1D9F">
      <w:pPr>
        <w:pStyle w:val="DataField11pt-Single"/>
        <w:ind w:left="1440" w:hanging="360"/>
        <w:rPr>
          <w:rStyle w:val="Strong"/>
          <w:szCs w:val="22"/>
        </w:rPr>
      </w:pPr>
    </w:p>
    <w:p w14:paraId="45B56FDF" w14:textId="6F0F973C" w:rsidR="006B1D9F" w:rsidRPr="001616B6" w:rsidRDefault="006B1D9F" w:rsidP="006B1D9F">
      <w:pPr>
        <w:pStyle w:val="DataField11pt-Single"/>
        <w:numPr>
          <w:ilvl w:val="0"/>
          <w:numId w:val="20"/>
        </w:numPr>
        <w:rPr>
          <w:rStyle w:val="Strong"/>
          <w:szCs w:val="22"/>
        </w:rPr>
      </w:pPr>
      <w:r>
        <w:rPr>
          <w:rStyle w:val="Strong"/>
          <w:szCs w:val="22"/>
        </w:rPr>
        <w:t xml:space="preserve">Evidence for combination HIV prevention </w:t>
      </w:r>
      <w:r w:rsidR="00E55852">
        <w:rPr>
          <w:rStyle w:val="Strong"/>
          <w:szCs w:val="22"/>
        </w:rPr>
        <w:t xml:space="preserve">interventions </w:t>
      </w:r>
    </w:p>
    <w:p w14:paraId="5C91A616" w14:textId="7C5F9972" w:rsidR="006B1D9F" w:rsidRPr="001616B6" w:rsidRDefault="006B1D9F" w:rsidP="006B1D9F">
      <w:pPr>
        <w:pStyle w:val="DataField11pt-Single"/>
        <w:ind w:left="720"/>
        <w:rPr>
          <w:rStyle w:val="Strong"/>
          <w:b w:val="0"/>
          <w:szCs w:val="22"/>
        </w:rPr>
      </w:pPr>
      <w:r w:rsidRPr="001616B6">
        <w:rPr>
          <w:rStyle w:val="Strong"/>
          <w:b w:val="0"/>
          <w:szCs w:val="22"/>
        </w:rPr>
        <w:t xml:space="preserve">Our work with MSM has highlighted the </w:t>
      </w:r>
      <w:r>
        <w:rPr>
          <w:rStyle w:val="Strong"/>
          <w:b w:val="0"/>
          <w:szCs w:val="22"/>
        </w:rPr>
        <w:t>need for combination HIV prevention approaches that address prevention across the cascade of care</w:t>
      </w:r>
      <w:r w:rsidRPr="001616B6">
        <w:rPr>
          <w:rStyle w:val="Strong"/>
          <w:b w:val="0"/>
          <w:szCs w:val="22"/>
        </w:rPr>
        <w:t>.</w:t>
      </w:r>
      <w:r w:rsidR="00E55852">
        <w:rPr>
          <w:rStyle w:val="Strong"/>
          <w:b w:val="0"/>
          <w:szCs w:val="22"/>
        </w:rPr>
        <w:t xml:space="preserve">  This included the development of a combination </w:t>
      </w:r>
      <w:r w:rsidR="007F5F03">
        <w:rPr>
          <w:rStyle w:val="Strong"/>
          <w:b w:val="0"/>
          <w:szCs w:val="22"/>
        </w:rPr>
        <w:t xml:space="preserve">HIV intervention for MSM and TW. </w:t>
      </w:r>
    </w:p>
    <w:p w14:paraId="5A9D7F4B" w14:textId="77777777" w:rsidR="006B1D9F" w:rsidRPr="001616B6" w:rsidRDefault="006B1D9F" w:rsidP="006B1D9F">
      <w:pPr>
        <w:pStyle w:val="DataField11pt-Single"/>
        <w:numPr>
          <w:ilvl w:val="1"/>
          <w:numId w:val="20"/>
        </w:numPr>
        <w:rPr>
          <w:rStyle w:val="Strong"/>
          <w:b w:val="0"/>
          <w:szCs w:val="22"/>
        </w:rPr>
      </w:pPr>
      <w:r w:rsidRPr="001616B6">
        <w:rPr>
          <w:rStyle w:val="Strong"/>
          <w:b w:val="0"/>
          <w:szCs w:val="22"/>
        </w:rPr>
        <w:t xml:space="preserve">Maiorana A, Salazar X, </w:t>
      </w:r>
      <w:r w:rsidRPr="001616B6">
        <w:rPr>
          <w:rStyle w:val="Strong"/>
          <w:szCs w:val="22"/>
          <w:u w:val="single"/>
        </w:rPr>
        <w:t>Konda K</w:t>
      </w:r>
      <w:r w:rsidRPr="001616B6">
        <w:rPr>
          <w:rStyle w:val="Strong"/>
          <w:b w:val="0"/>
          <w:szCs w:val="22"/>
        </w:rPr>
        <w:t>, Silva-</w:t>
      </w:r>
      <w:proofErr w:type="spellStart"/>
      <w:r w:rsidRPr="001616B6">
        <w:rPr>
          <w:rStyle w:val="Strong"/>
          <w:b w:val="0"/>
          <w:szCs w:val="22"/>
        </w:rPr>
        <w:t>Santiesteban</w:t>
      </w:r>
      <w:proofErr w:type="spellEnd"/>
      <w:r w:rsidRPr="001616B6">
        <w:rPr>
          <w:rStyle w:val="Strong"/>
          <w:b w:val="0"/>
          <w:szCs w:val="22"/>
        </w:rPr>
        <w:t xml:space="preserve"> A, Cáceres C, Kegeles S. "‘</w:t>
      </w:r>
      <w:proofErr w:type="spellStart"/>
      <w:r w:rsidRPr="001616B6">
        <w:rPr>
          <w:rStyle w:val="Strong"/>
          <w:b w:val="0"/>
          <w:szCs w:val="22"/>
        </w:rPr>
        <w:t>Proyecto</w:t>
      </w:r>
      <w:proofErr w:type="spellEnd"/>
      <w:r w:rsidRPr="001616B6">
        <w:rPr>
          <w:rStyle w:val="Strong"/>
          <w:b w:val="0"/>
          <w:szCs w:val="22"/>
        </w:rPr>
        <w:t xml:space="preserve"> </w:t>
      </w:r>
      <w:proofErr w:type="spellStart"/>
      <w:r w:rsidRPr="001616B6">
        <w:rPr>
          <w:rStyle w:val="Strong"/>
          <w:b w:val="0"/>
          <w:szCs w:val="22"/>
        </w:rPr>
        <w:t>Orgullo</w:t>
      </w:r>
      <w:proofErr w:type="spellEnd"/>
      <w:r w:rsidRPr="001616B6">
        <w:rPr>
          <w:rStyle w:val="Strong"/>
          <w:b w:val="0"/>
          <w:szCs w:val="22"/>
        </w:rPr>
        <w:t>’, an HIV Prevention, Empowerment and Community Mobilization Intervention for Gay Men and Transgender Women in Callao/Lima, Peru". Global Public Health. 2016.</w:t>
      </w:r>
      <w:r>
        <w:rPr>
          <w:rStyle w:val="Strong"/>
          <w:b w:val="0"/>
          <w:szCs w:val="22"/>
        </w:rPr>
        <w:t xml:space="preserve"> PMCID in process. </w:t>
      </w:r>
      <w:r w:rsidRPr="00FF34A3">
        <w:rPr>
          <w:rStyle w:val="Strong"/>
          <w:b w:val="0"/>
          <w:szCs w:val="22"/>
        </w:rPr>
        <w:t>NIHMS ID: NIHMS789407</w:t>
      </w:r>
      <w:r>
        <w:rPr>
          <w:rStyle w:val="Strong"/>
          <w:b w:val="0"/>
          <w:szCs w:val="22"/>
        </w:rPr>
        <w:t>.</w:t>
      </w:r>
    </w:p>
    <w:p w14:paraId="67295043" w14:textId="77777777" w:rsidR="006B1D9F" w:rsidRPr="001616B6" w:rsidRDefault="006B1D9F" w:rsidP="006B1D9F">
      <w:pPr>
        <w:pStyle w:val="DataField11pt-Single"/>
        <w:rPr>
          <w:rStyle w:val="Strong"/>
          <w:b w:val="0"/>
          <w:szCs w:val="22"/>
        </w:rPr>
      </w:pPr>
    </w:p>
    <w:p w14:paraId="36F90962" w14:textId="77777777" w:rsidR="006B1D9F" w:rsidRPr="001616B6" w:rsidRDefault="006B1D9F" w:rsidP="006B1D9F">
      <w:pPr>
        <w:pStyle w:val="DataField11pt-Single"/>
        <w:rPr>
          <w:rStyle w:val="Strong"/>
          <w:b w:val="0"/>
          <w:szCs w:val="22"/>
        </w:rPr>
      </w:pPr>
    </w:p>
    <w:p w14:paraId="0AE9D5CA" w14:textId="76A727F4" w:rsidR="006B1D9F" w:rsidRPr="001616B6" w:rsidRDefault="006B1D9F" w:rsidP="006B1D9F">
      <w:pPr>
        <w:rPr>
          <w:rStyle w:val="Strong"/>
          <w:szCs w:val="22"/>
        </w:rPr>
      </w:pPr>
      <w:r w:rsidRPr="001616B6">
        <w:rPr>
          <w:rFonts w:cs="Arial"/>
          <w:b/>
          <w:szCs w:val="22"/>
        </w:rPr>
        <w:lastRenderedPageBreak/>
        <w:t xml:space="preserve">Complete List of Published Work in </w:t>
      </w:r>
      <w:proofErr w:type="spellStart"/>
      <w:r w:rsidRPr="001616B6">
        <w:rPr>
          <w:rFonts w:cs="Arial"/>
          <w:b/>
          <w:szCs w:val="22"/>
        </w:rPr>
        <w:t>MyBibliography</w:t>
      </w:r>
      <w:proofErr w:type="spellEnd"/>
      <w:r w:rsidRPr="001616B6">
        <w:rPr>
          <w:rFonts w:cs="Arial"/>
          <w:b/>
          <w:szCs w:val="22"/>
        </w:rPr>
        <w:t xml:space="preserve"> (</w:t>
      </w:r>
      <w:r w:rsidR="00201276">
        <w:rPr>
          <w:rFonts w:cs="Arial"/>
          <w:b/>
          <w:szCs w:val="22"/>
        </w:rPr>
        <w:t>over 50</w:t>
      </w:r>
      <w:r w:rsidRPr="001616B6">
        <w:rPr>
          <w:rFonts w:cs="Arial"/>
          <w:b/>
          <w:szCs w:val="22"/>
        </w:rPr>
        <w:t xml:space="preserve"> peer reviewed publications):</w:t>
      </w:r>
      <w:r>
        <w:rPr>
          <w:rFonts w:cs="Arial"/>
          <w:b/>
          <w:szCs w:val="22"/>
        </w:rPr>
        <w:t xml:space="preserve"> </w:t>
      </w:r>
      <w:hyperlink r:id="rId11" w:history="1">
        <w:r w:rsidRPr="001616B6">
          <w:rPr>
            <w:rStyle w:val="Hyperlink"/>
            <w:szCs w:val="22"/>
          </w:rPr>
          <w:t>http://www.ncbi.nlm.nih.gov/sites/myncbi/kelika.konda.1/bibliography/48332866/public/?sort=date&amp;direction=ascending</w:t>
        </w:r>
      </w:hyperlink>
      <w:r w:rsidRPr="001616B6">
        <w:rPr>
          <w:szCs w:val="22"/>
        </w:rPr>
        <w:t>.</w:t>
      </w:r>
    </w:p>
    <w:p w14:paraId="47BB4A0C" w14:textId="77777777" w:rsidR="006B1D9F" w:rsidRPr="001616B6" w:rsidRDefault="006B1D9F" w:rsidP="006B1D9F">
      <w:pPr>
        <w:pStyle w:val="DataField11pt-Single"/>
        <w:rPr>
          <w:rStyle w:val="Strong"/>
          <w:szCs w:val="22"/>
        </w:rPr>
      </w:pPr>
    </w:p>
    <w:p w14:paraId="771499E1" w14:textId="77777777" w:rsidR="006B1D9F" w:rsidRPr="001616B6" w:rsidRDefault="006B1D9F" w:rsidP="006B1D9F">
      <w:pPr>
        <w:pStyle w:val="DataField11pt-Single"/>
        <w:rPr>
          <w:rStyle w:val="Strong"/>
          <w:szCs w:val="22"/>
        </w:rPr>
      </w:pPr>
      <w:r w:rsidRPr="001616B6">
        <w:rPr>
          <w:rStyle w:val="Strong"/>
          <w:szCs w:val="22"/>
        </w:rPr>
        <w:t>D.</w:t>
      </w:r>
      <w:r w:rsidRPr="001616B6">
        <w:rPr>
          <w:rStyle w:val="Strong"/>
          <w:szCs w:val="22"/>
        </w:rPr>
        <w:tab/>
        <w:t>Research Support</w:t>
      </w:r>
    </w:p>
    <w:p w14:paraId="6C603FAD" w14:textId="77777777" w:rsidR="006B1D9F" w:rsidRPr="001616B6" w:rsidRDefault="006B1D9F" w:rsidP="006B1D9F">
      <w:pPr>
        <w:pStyle w:val="Subtitle2"/>
        <w:ind w:left="180"/>
        <w:rPr>
          <w:rFonts w:cs="Arial"/>
          <w:szCs w:val="22"/>
        </w:rPr>
      </w:pPr>
      <w:r w:rsidRPr="001616B6">
        <w:rPr>
          <w:rFonts w:cs="Arial"/>
          <w:szCs w:val="22"/>
        </w:rPr>
        <w:t>Ongoing Research Support</w:t>
      </w:r>
    </w:p>
    <w:p w14:paraId="4377C243" w14:textId="77777777" w:rsidR="006B1D9F" w:rsidRPr="001616B6" w:rsidRDefault="006B1D9F" w:rsidP="006B1D9F">
      <w:pPr>
        <w:ind w:left="180"/>
        <w:rPr>
          <w:rFonts w:cs="Arial"/>
          <w:color w:val="000000"/>
          <w:szCs w:val="22"/>
        </w:rPr>
      </w:pPr>
    </w:p>
    <w:p w14:paraId="64646C43" w14:textId="77777777" w:rsidR="006B1D9F" w:rsidRPr="001616B6" w:rsidRDefault="006B1D9F" w:rsidP="006B1D9F">
      <w:pPr>
        <w:ind w:left="180"/>
        <w:rPr>
          <w:rFonts w:cs="Arial"/>
          <w:color w:val="000000"/>
          <w:szCs w:val="22"/>
        </w:rPr>
      </w:pPr>
      <w:r w:rsidRPr="001616B6">
        <w:rPr>
          <w:rFonts w:cs="Arial"/>
          <w:color w:val="000000"/>
          <w:szCs w:val="22"/>
        </w:rPr>
        <w:t>K01 MH098698 (PI)</w:t>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t>Konda (PI)</w:t>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t>07/01/2013 – 6/30/2018</w:t>
      </w:r>
      <w:r w:rsidRPr="001616B6">
        <w:rPr>
          <w:rFonts w:cs="Arial"/>
          <w:color w:val="000000"/>
          <w:szCs w:val="22"/>
        </w:rPr>
        <w:tab/>
      </w:r>
    </w:p>
    <w:p w14:paraId="7B9A4411" w14:textId="0800F3FB" w:rsidR="006B1D9F" w:rsidRPr="001616B6" w:rsidRDefault="006B1D9F" w:rsidP="006B1D9F">
      <w:pPr>
        <w:ind w:left="180"/>
        <w:rPr>
          <w:rFonts w:cs="Arial"/>
          <w:color w:val="000000"/>
          <w:szCs w:val="22"/>
        </w:rPr>
      </w:pPr>
      <w:r w:rsidRPr="001616B6">
        <w:rPr>
          <w:rFonts w:cs="Arial"/>
          <w:color w:val="000000"/>
          <w:szCs w:val="22"/>
        </w:rPr>
        <w:t>NIH/NIMH</w:t>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004E797F">
        <w:rPr>
          <w:rFonts w:cs="Arial"/>
          <w:color w:val="000000"/>
          <w:szCs w:val="22"/>
        </w:rPr>
        <w:tab/>
      </w:r>
      <w:r w:rsidR="004E797F">
        <w:rPr>
          <w:rFonts w:cs="Arial"/>
          <w:color w:val="000000"/>
          <w:szCs w:val="22"/>
        </w:rPr>
        <w:tab/>
      </w:r>
      <w:r w:rsidR="004E797F">
        <w:rPr>
          <w:rFonts w:cs="Arial"/>
          <w:color w:val="000000"/>
          <w:szCs w:val="22"/>
        </w:rPr>
        <w:tab/>
      </w:r>
      <w:r w:rsidR="004E797F">
        <w:rPr>
          <w:rFonts w:cs="Arial"/>
          <w:color w:val="000000"/>
          <w:szCs w:val="22"/>
        </w:rPr>
        <w:tab/>
      </w:r>
      <w:r w:rsidR="004E797F">
        <w:rPr>
          <w:rFonts w:cs="Arial"/>
          <w:color w:val="000000"/>
          <w:szCs w:val="22"/>
        </w:rPr>
        <w:tab/>
      </w:r>
      <w:r w:rsidR="004E797F">
        <w:rPr>
          <w:rFonts w:cs="Arial"/>
          <w:color w:val="000000"/>
          <w:szCs w:val="22"/>
        </w:rPr>
        <w:tab/>
      </w:r>
      <w:r w:rsidR="004E797F">
        <w:rPr>
          <w:rFonts w:cs="Arial"/>
          <w:color w:val="000000"/>
          <w:szCs w:val="22"/>
        </w:rPr>
        <w:tab/>
      </w:r>
      <w:r w:rsidR="004E797F">
        <w:rPr>
          <w:rFonts w:cs="Arial"/>
          <w:color w:val="000000"/>
          <w:szCs w:val="22"/>
        </w:rPr>
        <w:tab/>
      </w:r>
      <w:r w:rsidR="004E797F">
        <w:rPr>
          <w:rFonts w:cs="Arial"/>
          <w:color w:val="000000"/>
          <w:szCs w:val="22"/>
        </w:rPr>
        <w:tab/>
      </w:r>
      <w:r w:rsidR="004E797F">
        <w:rPr>
          <w:rFonts w:cs="Arial"/>
          <w:color w:val="000000"/>
          <w:szCs w:val="22"/>
        </w:rPr>
        <w:tab/>
      </w:r>
      <w:r w:rsidR="004E797F">
        <w:rPr>
          <w:rFonts w:cs="Arial"/>
          <w:color w:val="000000"/>
          <w:szCs w:val="22"/>
        </w:rPr>
        <w:tab/>
      </w:r>
      <w:r w:rsidR="004E797F">
        <w:rPr>
          <w:rFonts w:cs="Arial"/>
          <w:color w:val="000000"/>
          <w:szCs w:val="22"/>
        </w:rPr>
        <w:tab/>
      </w:r>
      <w:r w:rsidR="004E797F">
        <w:rPr>
          <w:rFonts w:cs="Arial"/>
          <w:color w:val="000000"/>
          <w:szCs w:val="22"/>
        </w:rPr>
        <w:tab/>
      </w:r>
      <w:r w:rsidR="004E797F">
        <w:rPr>
          <w:rFonts w:cs="Arial"/>
          <w:color w:val="000000"/>
          <w:szCs w:val="22"/>
        </w:rPr>
        <w:tab/>
      </w:r>
      <w:r w:rsidR="004E797F">
        <w:rPr>
          <w:rFonts w:cs="Arial"/>
          <w:color w:val="000000"/>
          <w:szCs w:val="22"/>
        </w:rPr>
        <w:tab/>
      </w:r>
      <w:r w:rsidR="004E797F">
        <w:rPr>
          <w:rFonts w:cs="Arial"/>
          <w:color w:val="000000"/>
          <w:szCs w:val="22"/>
        </w:rPr>
        <w:tab/>
        <w:t>9 calendar months</w:t>
      </w:r>
    </w:p>
    <w:p w14:paraId="6832386F" w14:textId="77777777" w:rsidR="006B1D9F" w:rsidRPr="001616B6" w:rsidRDefault="006B1D9F" w:rsidP="006B1D9F">
      <w:pPr>
        <w:ind w:left="180"/>
        <w:rPr>
          <w:rFonts w:cs="Arial"/>
          <w:i/>
          <w:color w:val="000000"/>
          <w:szCs w:val="22"/>
        </w:rPr>
      </w:pPr>
      <w:r w:rsidRPr="001616B6">
        <w:rPr>
          <w:rFonts w:cs="Arial"/>
          <w:color w:val="333333"/>
          <w:szCs w:val="22"/>
        </w:rPr>
        <w:t xml:space="preserve">Title: </w:t>
      </w:r>
      <w:r w:rsidRPr="001616B6">
        <w:rPr>
          <w:rFonts w:cs="Arial"/>
          <w:i/>
          <w:color w:val="333333"/>
          <w:szCs w:val="22"/>
        </w:rPr>
        <w:t>Relating Sexual Partnerships of Men Who Have Sex with Men with HIV Prevention</w:t>
      </w:r>
    </w:p>
    <w:p w14:paraId="69ABE8B1" w14:textId="77777777" w:rsidR="006B1D9F" w:rsidRPr="001616B6" w:rsidRDefault="006B1D9F" w:rsidP="006B1D9F">
      <w:pPr>
        <w:ind w:left="180"/>
        <w:rPr>
          <w:rFonts w:cs="Arial"/>
          <w:color w:val="000000"/>
          <w:szCs w:val="22"/>
        </w:rPr>
      </w:pPr>
      <w:r w:rsidRPr="001616B6">
        <w:rPr>
          <w:rFonts w:cs="Arial"/>
          <w:color w:val="000000"/>
          <w:szCs w:val="22"/>
        </w:rPr>
        <w:t xml:space="preserve">Goals: This grant supports mixed methods research on sexual relationships between gay men in Lima, Peru and how relationships affect HIV prevention. </w:t>
      </w:r>
    </w:p>
    <w:p w14:paraId="0CB321FA" w14:textId="1B9A2521" w:rsidR="006B1D9F" w:rsidRPr="00315612" w:rsidRDefault="006B1D9F" w:rsidP="006B1D9F">
      <w:pPr>
        <w:pStyle w:val="Subtitle2"/>
        <w:ind w:left="180"/>
        <w:rPr>
          <w:rFonts w:cs="Arial"/>
          <w:b w:val="0"/>
          <w:szCs w:val="22"/>
          <w:u w:val="none"/>
        </w:rPr>
      </w:pPr>
      <w:r w:rsidRPr="00315612">
        <w:rPr>
          <w:rFonts w:cs="Arial"/>
          <w:b w:val="0"/>
          <w:szCs w:val="22"/>
          <w:u w:val="none"/>
        </w:rPr>
        <w:t xml:space="preserve">R01MH109401 </w:t>
      </w:r>
      <w:r>
        <w:rPr>
          <w:rFonts w:cs="Arial"/>
          <w:b w:val="0"/>
          <w:szCs w:val="22"/>
          <w:u w:val="none"/>
        </w:rPr>
        <w:t>(Co-I)</w:t>
      </w:r>
      <w:r>
        <w:rPr>
          <w:rFonts w:cs="Arial"/>
          <w:b w:val="0"/>
          <w:szCs w:val="22"/>
          <w:u w:val="none"/>
        </w:rPr>
        <w:tab/>
      </w:r>
      <w:r>
        <w:rPr>
          <w:rFonts w:cs="Arial"/>
          <w:b w:val="0"/>
          <w:szCs w:val="22"/>
          <w:u w:val="none"/>
        </w:rPr>
        <w:tab/>
      </w:r>
      <w:r w:rsidR="004E797F">
        <w:rPr>
          <w:rFonts w:cs="Arial"/>
          <w:b w:val="0"/>
          <w:szCs w:val="22"/>
          <w:u w:val="none"/>
        </w:rPr>
        <w:tab/>
      </w:r>
      <w:r w:rsidR="004E797F">
        <w:rPr>
          <w:rFonts w:cs="Arial"/>
          <w:b w:val="0"/>
          <w:szCs w:val="22"/>
          <w:u w:val="none"/>
        </w:rPr>
        <w:tab/>
      </w:r>
      <w:r w:rsidR="004E797F">
        <w:rPr>
          <w:rFonts w:cs="Arial"/>
          <w:b w:val="0"/>
          <w:szCs w:val="22"/>
          <w:u w:val="none"/>
        </w:rPr>
        <w:tab/>
      </w:r>
      <w:r w:rsidR="004E797F">
        <w:rPr>
          <w:rFonts w:cs="Arial"/>
          <w:b w:val="0"/>
          <w:szCs w:val="22"/>
          <w:u w:val="none"/>
        </w:rPr>
        <w:tab/>
      </w:r>
      <w:r w:rsidR="004E797F">
        <w:rPr>
          <w:rFonts w:cs="Arial"/>
          <w:b w:val="0"/>
          <w:szCs w:val="22"/>
          <w:u w:val="none"/>
        </w:rPr>
        <w:tab/>
      </w:r>
      <w:r>
        <w:rPr>
          <w:rFonts w:cs="Arial"/>
          <w:b w:val="0"/>
          <w:szCs w:val="22"/>
          <w:u w:val="none"/>
        </w:rPr>
        <w:t>Kegeles (PI)</w:t>
      </w:r>
      <w:r w:rsidR="004E797F">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t>02/01/2016-01/31/2021</w:t>
      </w:r>
    </w:p>
    <w:p w14:paraId="0501C2D5" w14:textId="79FD0D91" w:rsidR="004E797F" w:rsidRDefault="004E797F" w:rsidP="006B1D9F">
      <w:pPr>
        <w:pStyle w:val="Subtitle2"/>
        <w:spacing w:before="0"/>
        <w:ind w:left="180"/>
        <w:rPr>
          <w:rFonts w:cs="Arial"/>
          <w:b w:val="0"/>
          <w:szCs w:val="22"/>
          <w:u w:val="none"/>
        </w:rPr>
      </w:pPr>
      <w:r>
        <w:rPr>
          <w:rFonts w:cs="Arial"/>
          <w:b w:val="0"/>
          <w:szCs w:val="22"/>
          <w:u w:val="none"/>
        </w:rPr>
        <w:t>NIH/NIMH</w:t>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t>2.4 calendar months*</w:t>
      </w:r>
    </w:p>
    <w:p w14:paraId="4F2B2798" w14:textId="77777777" w:rsidR="006B1D9F" w:rsidRDefault="006B1D9F" w:rsidP="006B1D9F">
      <w:pPr>
        <w:pStyle w:val="Subtitle2"/>
        <w:spacing w:before="0"/>
        <w:ind w:left="180"/>
        <w:rPr>
          <w:rFonts w:cs="Arial"/>
          <w:b w:val="0"/>
          <w:szCs w:val="22"/>
          <w:u w:val="none"/>
        </w:rPr>
      </w:pPr>
      <w:r>
        <w:rPr>
          <w:rFonts w:cs="Arial"/>
          <w:b w:val="0"/>
          <w:szCs w:val="22"/>
          <w:u w:val="none"/>
        </w:rPr>
        <w:t xml:space="preserve">Title: </w:t>
      </w:r>
      <w:r w:rsidRPr="00315612">
        <w:rPr>
          <w:rFonts w:cs="Arial"/>
          <w:b w:val="0"/>
          <w:szCs w:val="22"/>
          <w:u w:val="none"/>
        </w:rPr>
        <w:tab/>
      </w:r>
      <w:r>
        <w:rPr>
          <w:rFonts w:cs="Arial"/>
          <w:b w:val="0"/>
          <w:szCs w:val="22"/>
          <w:u w:val="none"/>
        </w:rPr>
        <w:t xml:space="preserve"> Combination HIV</w:t>
      </w:r>
      <w:r w:rsidRPr="00A50701">
        <w:rPr>
          <w:rFonts w:cs="Arial"/>
          <w:b w:val="0"/>
          <w:szCs w:val="22"/>
          <w:u w:val="none"/>
        </w:rPr>
        <w:t xml:space="preserve"> Prevention, Linking Prevention </w:t>
      </w:r>
      <w:r>
        <w:rPr>
          <w:rFonts w:cs="Arial"/>
          <w:b w:val="0"/>
          <w:szCs w:val="22"/>
          <w:u w:val="none"/>
        </w:rPr>
        <w:t>a</w:t>
      </w:r>
      <w:r w:rsidRPr="00A50701">
        <w:rPr>
          <w:rFonts w:cs="Arial"/>
          <w:b w:val="0"/>
          <w:szCs w:val="22"/>
          <w:u w:val="none"/>
        </w:rPr>
        <w:t xml:space="preserve">nd Care, </w:t>
      </w:r>
      <w:r>
        <w:rPr>
          <w:rFonts w:cs="Arial"/>
          <w:b w:val="0"/>
          <w:szCs w:val="22"/>
          <w:u w:val="none"/>
        </w:rPr>
        <w:t>f</w:t>
      </w:r>
      <w:r w:rsidRPr="00A50701">
        <w:rPr>
          <w:rFonts w:cs="Arial"/>
          <w:b w:val="0"/>
          <w:szCs w:val="22"/>
          <w:u w:val="none"/>
        </w:rPr>
        <w:t>or Hispanic Men</w:t>
      </w:r>
    </w:p>
    <w:p w14:paraId="459ADFC4" w14:textId="77777777" w:rsidR="006B1D9F" w:rsidRDefault="006B1D9F" w:rsidP="006B1D9F">
      <w:pPr>
        <w:pStyle w:val="Subtitle2"/>
        <w:spacing w:before="0"/>
        <w:ind w:left="180"/>
        <w:rPr>
          <w:rFonts w:cs="Arial"/>
          <w:b w:val="0"/>
          <w:szCs w:val="22"/>
          <w:u w:val="none"/>
        </w:rPr>
      </w:pPr>
      <w:r>
        <w:rPr>
          <w:rFonts w:cs="Arial"/>
          <w:b w:val="0"/>
          <w:szCs w:val="22"/>
          <w:u w:val="none"/>
        </w:rPr>
        <w:t xml:space="preserve">Goals: This grant aims to test a combination HIV prevention intervention for men across the HIV prevention and care cascade. </w:t>
      </w:r>
    </w:p>
    <w:p w14:paraId="17302557" w14:textId="77777777" w:rsidR="004E797F" w:rsidRDefault="004E797F" w:rsidP="006B1D9F">
      <w:pPr>
        <w:pStyle w:val="Subtitle2"/>
        <w:spacing w:before="0"/>
        <w:ind w:left="180"/>
        <w:rPr>
          <w:rFonts w:cs="Arial"/>
          <w:b w:val="0"/>
          <w:szCs w:val="22"/>
          <w:u w:val="none"/>
        </w:rPr>
      </w:pPr>
    </w:p>
    <w:p w14:paraId="4FCADDF3" w14:textId="70CC536B" w:rsidR="004E797F" w:rsidRDefault="004E797F" w:rsidP="004E797F">
      <w:pPr>
        <w:pStyle w:val="Subtitle2"/>
        <w:spacing w:before="0"/>
        <w:ind w:left="180"/>
        <w:jc w:val="both"/>
        <w:rPr>
          <w:rFonts w:cs="Arial"/>
          <w:b w:val="0"/>
          <w:szCs w:val="22"/>
          <w:u w:val="none"/>
        </w:rPr>
      </w:pPr>
      <w:r>
        <w:rPr>
          <w:rFonts w:cs="Arial"/>
          <w:b w:val="0"/>
          <w:szCs w:val="22"/>
          <w:u w:val="none"/>
        </w:rPr>
        <w:t>* Effort until 6/30/2018 is considered as part of the 9 calendar months dedicated to the K01, from 7/1/2018 onwards 2.4 calendar months.</w:t>
      </w:r>
    </w:p>
    <w:p w14:paraId="61872B1B" w14:textId="77777777" w:rsidR="006B1D9F" w:rsidRPr="001616B6" w:rsidRDefault="006B1D9F" w:rsidP="006B1D9F">
      <w:pPr>
        <w:pStyle w:val="Subtitle2"/>
        <w:ind w:left="180"/>
        <w:rPr>
          <w:rFonts w:cs="Arial"/>
          <w:szCs w:val="22"/>
        </w:rPr>
      </w:pPr>
      <w:r w:rsidRPr="001616B6">
        <w:rPr>
          <w:rFonts w:cs="Arial"/>
          <w:szCs w:val="22"/>
        </w:rPr>
        <w:t>Completed Research Support</w:t>
      </w:r>
    </w:p>
    <w:p w14:paraId="198DA0E6" w14:textId="77777777" w:rsidR="006B1D9F" w:rsidRPr="001616B6" w:rsidRDefault="006B1D9F" w:rsidP="006B1D9F">
      <w:pPr>
        <w:pStyle w:val="DataField11pt-Single"/>
        <w:ind w:left="180"/>
        <w:rPr>
          <w:szCs w:val="22"/>
        </w:rPr>
      </w:pPr>
    </w:p>
    <w:p w14:paraId="69625538" w14:textId="77777777" w:rsidR="006B1D9F" w:rsidRPr="001616B6" w:rsidRDefault="006B1D9F" w:rsidP="006B1D9F">
      <w:pPr>
        <w:ind w:firstLine="180"/>
        <w:rPr>
          <w:rFonts w:cs="Arial"/>
          <w:color w:val="000000"/>
          <w:szCs w:val="22"/>
        </w:rPr>
      </w:pPr>
      <w:r w:rsidRPr="001616B6">
        <w:rPr>
          <w:rFonts w:cs="Arial"/>
          <w:color w:val="000000"/>
          <w:szCs w:val="22"/>
        </w:rPr>
        <w:t>NIH Fogarty (Trainee)</w:t>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t>07/01/2013 – 12/31/2014</w:t>
      </w:r>
      <w:r w:rsidRPr="001616B6">
        <w:rPr>
          <w:rFonts w:cs="Arial"/>
          <w:color w:val="000000"/>
          <w:szCs w:val="22"/>
        </w:rPr>
        <w:tab/>
      </w:r>
    </w:p>
    <w:p w14:paraId="7C6C31FD" w14:textId="77777777" w:rsidR="006B1D9F" w:rsidRPr="001616B6" w:rsidRDefault="006B1D9F" w:rsidP="006B1D9F">
      <w:pPr>
        <w:adjustRightInd w:val="0"/>
        <w:ind w:firstLine="180"/>
        <w:rPr>
          <w:rFonts w:cs="Arial"/>
          <w:szCs w:val="22"/>
        </w:rPr>
      </w:pPr>
      <w:r w:rsidRPr="001616B6">
        <w:rPr>
          <w:rFonts w:cs="Arial"/>
          <w:szCs w:val="22"/>
        </w:rPr>
        <w:t xml:space="preserve">University of California Global Health Institute (UCGHI) </w:t>
      </w:r>
      <w:proofErr w:type="spellStart"/>
      <w:r w:rsidRPr="001616B6">
        <w:rPr>
          <w:rFonts w:cs="Arial"/>
          <w:szCs w:val="22"/>
        </w:rPr>
        <w:t>GloCal</w:t>
      </w:r>
      <w:proofErr w:type="spellEnd"/>
      <w:r w:rsidRPr="001616B6">
        <w:rPr>
          <w:rFonts w:cs="Arial"/>
          <w:szCs w:val="22"/>
        </w:rPr>
        <w:t xml:space="preserve"> Health Fellowship</w:t>
      </w:r>
      <w:r w:rsidRPr="001616B6">
        <w:rPr>
          <w:rFonts w:cs="Arial"/>
          <w:szCs w:val="22"/>
        </w:rPr>
        <w:tab/>
      </w:r>
      <w:r w:rsidRPr="001616B6">
        <w:rPr>
          <w:rFonts w:cs="Arial"/>
          <w:szCs w:val="22"/>
        </w:rPr>
        <w:tab/>
      </w:r>
    </w:p>
    <w:p w14:paraId="5DC69F49" w14:textId="77777777" w:rsidR="006B1D9F" w:rsidRPr="001616B6" w:rsidRDefault="006B1D9F" w:rsidP="006B1D9F">
      <w:pPr>
        <w:ind w:firstLine="180"/>
        <w:rPr>
          <w:rFonts w:cs="Arial"/>
          <w:color w:val="000000"/>
          <w:szCs w:val="22"/>
        </w:rPr>
      </w:pPr>
      <w:r w:rsidRPr="001616B6">
        <w:rPr>
          <w:rFonts w:cs="Arial"/>
          <w:color w:val="000000"/>
          <w:szCs w:val="22"/>
        </w:rPr>
        <w:t>Goals: This grant supports research on adapting couples voluntary counseling and testing for MSM in Peru.</w:t>
      </w:r>
    </w:p>
    <w:p w14:paraId="27D98E69" w14:textId="77777777" w:rsidR="006B1D9F" w:rsidRPr="001616B6" w:rsidRDefault="006B1D9F" w:rsidP="006B1D9F">
      <w:pPr>
        <w:ind w:left="180"/>
        <w:rPr>
          <w:rFonts w:cs="Arial"/>
          <w:szCs w:val="22"/>
        </w:rPr>
      </w:pPr>
    </w:p>
    <w:p w14:paraId="60391248" w14:textId="77777777" w:rsidR="006B1D9F" w:rsidRPr="001616B6" w:rsidRDefault="006B1D9F" w:rsidP="006B1D9F">
      <w:pPr>
        <w:ind w:left="180"/>
        <w:rPr>
          <w:rFonts w:cs="Arial"/>
          <w:color w:val="000000"/>
          <w:szCs w:val="22"/>
        </w:rPr>
      </w:pPr>
      <w:r w:rsidRPr="001616B6">
        <w:rPr>
          <w:rFonts w:cs="Arial"/>
          <w:color w:val="000000"/>
          <w:szCs w:val="22"/>
        </w:rPr>
        <w:t>T32 MH080634 (Trainee)</w:t>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r>
      <w:r w:rsidRPr="001616B6">
        <w:rPr>
          <w:rFonts w:cs="Arial"/>
          <w:color w:val="000000"/>
          <w:szCs w:val="22"/>
        </w:rPr>
        <w:tab/>
        <w:t>07/01/2010 – 06/30/2013</w:t>
      </w:r>
      <w:r w:rsidRPr="001616B6">
        <w:rPr>
          <w:rFonts w:cs="Arial"/>
          <w:color w:val="000000"/>
          <w:szCs w:val="22"/>
        </w:rPr>
        <w:tab/>
      </w:r>
    </w:p>
    <w:p w14:paraId="087F4095" w14:textId="77777777" w:rsidR="006B1D9F" w:rsidRPr="001616B6" w:rsidRDefault="006B1D9F" w:rsidP="006B1D9F">
      <w:pPr>
        <w:ind w:left="180"/>
        <w:rPr>
          <w:rFonts w:cs="Arial"/>
          <w:color w:val="000000"/>
          <w:szCs w:val="22"/>
        </w:rPr>
      </w:pPr>
      <w:r w:rsidRPr="001616B6">
        <w:rPr>
          <w:rFonts w:cs="Arial"/>
          <w:color w:val="000000"/>
          <w:szCs w:val="22"/>
        </w:rPr>
        <w:t>NIMH</w:t>
      </w:r>
    </w:p>
    <w:p w14:paraId="14DD413D" w14:textId="77777777" w:rsidR="006B1D9F" w:rsidRPr="001616B6" w:rsidRDefault="006B1D9F" w:rsidP="006B1D9F">
      <w:pPr>
        <w:ind w:left="180"/>
        <w:rPr>
          <w:rFonts w:cs="Arial"/>
          <w:i/>
          <w:color w:val="000000"/>
          <w:szCs w:val="22"/>
        </w:rPr>
      </w:pPr>
      <w:r w:rsidRPr="001616B6">
        <w:rPr>
          <w:rFonts w:cs="Arial"/>
          <w:i/>
          <w:color w:val="000000"/>
          <w:szCs w:val="22"/>
        </w:rPr>
        <w:t>Postdoctoral Training in Global Aids Prevention Research</w:t>
      </w:r>
    </w:p>
    <w:p w14:paraId="071C81FA" w14:textId="77777777" w:rsidR="006B1D9F" w:rsidRPr="001616B6" w:rsidRDefault="006B1D9F" w:rsidP="006B1D9F">
      <w:pPr>
        <w:ind w:left="180"/>
        <w:rPr>
          <w:rFonts w:cs="Arial"/>
          <w:szCs w:val="22"/>
        </w:rPr>
      </w:pPr>
      <w:r w:rsidRPr="001616B6">
        <w:rPr>
          <w:rFonts w:cs="Arial"/>
          <w:color w:val="000000"/>
          <w:szCs w:val="22"/>
        </w:rPr>
        <w:t xml:space="preserve">Goals: This grant is a Post-Doctoral Training support for continuing research on HIV prevention among men who have sex with men in Peru.  </w:t>
      </w:r>
    </w:p>
    <w:p w14:paraId="6BB30BDD" w14:textId="77777777" w:rsidR="006B1D9F" w:rsidRPr="001616B6" w:rsidRDefault="006B1D9F" w:rsidP="006B1D9F">
      <w:pPr>
        <w:pStyle w:val="DataField"/>
        <w:ind w:left="180"/>
        <w:rPr>
          <w:lang w:eastAsia="es-ES"/>
        </w:rPr>
      </w:pPr>
    </w:p>
    <w:p w14:paraId="4EDB1864" w14:textId="77777777" w:rsidR="006B1D9F" w:rsidRPr="001616B6" w:rsidRDefault="006B1D9F" w:rsidP="006B1D9F">
      <w:pPr>
        <w:pStyle w:val="DataField11pt-Single"/>
        <w:ind w:left="180"/>
        <w:rPr>
          <w:szCs w:val="22"/>
        </w:rPr>
      </w:pPr>
      <w:r w:rsidRPr="001616B6">
        <w:rPr>
          <w:szCs w:val="22"/>
        </w:rPr>
        <w:t>R34 MH086330 (Post-Doctoral Fellow)</w:t>
      </w:r>
      <w:r w:rsidRPr="001616B6">
        <w:rPr>
          <w:szCs w:val="22"/>
        </w:rPr>
        <w:tab/>
      </w:r>
      <w:r w:rsidRPr="001616B6">
        <w:rPr>
          <w:szCs w:val="22"/>
        </w:rPr>
        <w:tab/>
      </w:r>
      <w:r w:rsidRPr="001616B6">
        <w:rPr>
          <w:szCs w:val="22"/>
        </w:rPr>
        <w:tab/>
      </w:r>
      <w:r w:rsidRPr="001616B6">
        <w:rPr>
          <w:szCs w:val="22"/>
        </w:rPr>
        <w:tab/>
      </w:r>
      <w:r w:rsidRPr="001616B6">
        <w:rPr>
          <w:szCs w:val="22"/>
        </w:rPr>
        <w:tab/>
      </w:r>
      <w:r w:rsidRPr="001616B6">
        <w:rPr>
          <w:szCs w:val="22"/>
        </w:rPr>
        <w:tab/>
      </w:r>
      <w:r w:rsidRPr="001616B6">
        <w:rPr>
          <w:szCs w:val="22"/>
        </w:rPr>
        <w:tab/>
      </w:r>
      <w:r w:rsidRPr="001616B6">
        <w:rPr>
          <w:szCs w:val="22"/>
        </w:rPr>
        <w:tab/>
      </w:r>
      <w:r w:rsidRPr="001616B6">
        <w:rPr>
          <w:szCs w:val="22"/>
        </w:rPr>
        <w:tab/>
      </w:r>
      <w:r w:rsidRPr="001616B6">
        <w:rPr>
          <w:szCs w:val="22"/>
        </w:rPr>
        <w:tab/>
      </w:r>
      <w:r w:rsidRPr="001616B6">
        <w:rPr>
          <w:szCs w:val="22"/>
        </w:rPr>
        <w:tab/>
      </w:r>
      <w:r w:rsidRPr="001616B6">
        <w:rPr>
          <w:szCs w:val="22"/>
        </w:rPr>
        <w:tab/>
        <w:t>11/01/2010 - 06/30/2013</w:t>
      </w:r>
      <w:r w:rsidRPr="001616B6">
        <w:rPr>
          <w:szCs w:val="22"/>
        </w:rPr>
        <w:tab/>
      </w:r>
    </w:p>
    <w:p w14:paraId="46439EF3" w14:textId="77777777" w:rsidR="006B1D9F" w:rsidRPr="001616B6" w:rsidRDefault="006B1D9F" w:rsidP="006B1D9F">
      <w:pPr>
        <w:pStyle w:val="DataField11pt-Single"/>
        <w:ind w:left="180"/>
        <w:rPr>
          <w:szCs w:val="22"/>
        </w:rPr>
      </w:pPr>
      <w:r w:rsidRPr="001616B6">
        <w:rPr>
          <w:szCs w:val="22"/>
        </w:rPr>
        <w:t>NIMH</w:t>
      </w:r>
      <w:r w:rsidRPr="001616B6">
        <w:rPr>
          <w:szCs w:val="22"/>
        </w:rPr>
        <w:tab/>
      </w:r>
      <w:r w:rsidRPr="001616B6">
        <w:rPr>
          <w:szCs w:val="22"/>
        </w:rPr>
        <w:tab/>
      </w:r>
    </w:p>
    <w:p w14:paraId="2B35BC53" w14:textId="77777777" w:rsidR="006B1D9F" w:rsidRPr="001616B6" w:rsidRDefault="006B1D9F" w:rsidP="006B1D9F">
      <w:pPr>
        <w:pStyle w:val="DataField11pt-Single"/>
        <w:ind w:left="180"/>
        <w:rPr>
          <w:i/>
          <w:szCs w:val="22"/>
        </w:rPr>
      </w:pPr>
      <w:r w:rsidRPr="001616B6">
        <w:rPr>
          <w:i/>
          <w:szCs w:val="22"/>
        </w:rPr>
        <w:t>The Development of a Multilevel HIV Prevention Intervention for Latin American Men</w:t>
      </w:r>
    </w:p>
    <w:p w14:paraId="47869325" w14:textId="77777777" w:rsidR="006B1D9F" w:rsidRPr="001616B6" w:rsidRDefault="006B1D9F" w:rsidP="006B1D9F">
      <w:pPr>
        <w:pStyle w:val="DataField11pt-Single"/>
        <w:ind w:left="180"/>
        <w:rPr>
          <w:szCs w:val="22"/>
        </w:rPr>
      </w:pPr>
      <w:r w:rsidRPr="001616B6">
        <w:rPr>
          <w:szCs w:val="22"/>
        </w:rPr>
        <w:t xml:space="preserve">Goals: The goal of this research is to develop and test the feasibility and acceptability of an HIV prevention intervention that will be relevant to Peruvian gay men and </w:t>
      </w:r>
      <w:proofErr w:type="spellStart"/>
      <w:r w:rsidRPr="001616B6">
        <w:rPr>
          <w:szCs w:val="22"/>
        </w:rPr>
        <w:t>transwomen</w:t>
      </w:r>
      <w:proofErr w:type="spellEnd"/>
      <w:r w:rsidRPr="001616B6">
        <w:rPr>
          <w:szCs w:val="22"/>
        </w:rPr>
        <w:t>.</w:t>
      </w:r>
    </w:p>
    <w:p w14:paraId="10C7C7DD" w14:textId="77777777" w:rsidR="006B1D9F" w:rsidRPr="001616B6" w:rsidRDefault="006B1D9F" w:rsidP="006B1D9F">
      <w:pPr>
        <w:pStyle w:val="DataField11pt-Single"/>
        <w:rPr>
          <w:rStyle w:val="Strong"/>
          <w:szCs w:val="22"/>
        </w:rPr>
      </w:pPr>
    </w:p>
    <w:p w14:paraId="6C47424F" w14:textId="77777777" w:rsidR="00201276" w:rsidRPr="001616B6" w:rsidRDefault="00201276" w:rsidP="00201276">
      <w:pPr>
        <w:widowControl w:val="0"/>
        <w:tabs>
          <w:tab w:val="center" w:pos="5400"/>
          <w:tab w:val="right" w:pos="10530"/>
        </w:tabs>
        <w:adjustRightInd w:val="0"/>
        <w:spacing w:after="120"/>
        <w:ind w:left="180"/>
        <w:contextualSpacing/>
        <w:rPr>
          <w:rFonts w:cs="Arial"/>
          <w:color w:val="000000" w:themeColor="text1"/>
          <w:szCs w:val="22"/>
        </w:rPr>
      </w:pPr>
      <w:r w:rsidRPr="001616B6">
        <w:rPr>
          <w:rFonts w:cs="Arial"/>
          <w:color w:val="000000" w:themeColor="text1"/>
          <w:spacing w:val="-1"/>
          <w:szCs w:val="22"/>
        </w:rPr>
        <w:t>N</w:t>
      </w:r>
      <w:r w:rsidRPr="001616B6">
        <w:rPr>
          <w:rFonts w:cs="Arial"/>
          <w:color w:val="000000" w:themeColor="text1"/>
          <w:spacing w:val="1"/>
          <w:szCs w:val="22"/>
        </w:rPr>
        <w:t>I</w:t>
      </w:r>
      <w:r w:rsidRPr="001616B6">
        <w:rPr>
          <w:rFonts w:cs="Arial"/>
          <w:color w:val="000000" w:themeColor="text1"/>
          <w:spacing w:val="-1"/>
          <w:szCs w:val="22"/>
        </w:rPr>
        <w:t>H</w:t>
      </w:r>
      <w:r w:rsidRPr="001616B6">
        <w:rPr>
          <w:rFonts w:cs="Arial"/>
          <w:color w:val="000000" w:themeColor="text1"/>
          <w:spacing w:val="1"/>
          <w:szCs w:val="22"/>
        </w:rPr>
        <w:t>/</w:t>
      </w:r>
      <w:r w:rsidRPr="001616B6">
        <w:rPr>
          <w:rFonts w:cs="Arial"/>
          <w:color w:val="000000" w:themeColor="text1"/>
          <w:spacing w:val="-1"/>
          <w:szCs w:val="22"/>
        </w:rPr>
        <w:t>NIA</w:t>
      </w:r>
      <w:r w:rsidRPr="001616B6">
        <w:rPr>
          <w:rFonts w:cs="Arial"/>
          <w:color w:val="000000" w:themeColor="text1"/>
          <w:spacing w:val="1"/>
          <w:szCs w:val="22"/>
        </w:rPr>
        <w:t>I</w:t>
      </w:r>
      <w:r w:rsidRPr="001616B6">
        <w:rPr>
          <w:rFonts w:cs="Arial"/>
          <w:color w:val="000000" w:themeColor="text1"/>
          <w:spacing w:val="-1"/>
          <w:szCs w:val="22"/>
        </w:rPr>
        <w:t>D</w:t>
      </w:r>
      <w:r w:rsidRPr="001616B6">
        <w:rPr>
          <w:rFonts w:cs="Arial"/>
          <w:color w:val="000000" w:themeColor="text1"/>
          <w:szCs w:val="22"/>
        </w:rPr>
        <w:t>. 1R</w:t>
      </w:r>
      <w:r w:rsidRPr="001616B6">
        <w:rPr>
          <w:rFonts w:cs="Arial"/>
          <w:color w:val="000000" w:themeColor="text1"/>
          <w:spacing w:val="-1"/>
          <w:szCs w:val="22"/>
        </w:rPr>
        <w:t>0</w:t>
      </w:r>
      <w:r w:rsidRPr="001616B6">
        <w:rPr>
          <w:rFonts w:cs="Arial"/>
          <w:color w:val="000000" w:themeColor="text1"/>
          <w:szCs w:val="22"/>
        </w:rPr>
        <w:t>1</w:t>
      </w:r>
      <w:r w:rsidRPr="001616B6">
        <w:rPr>
          <w:rFonts w:cs="Arial"/>
          <w:color w:val="000000" w:themeColor="text1"/>
          <w:spacing w:val="-1"/>
          <w:szCs w:val="22"/>
        </w:rPr>
        <w:t>A</w:t>
      </w:r>
      <w:r w:rsidRPr="001616B6">
        <w:rPr>
          <w:rFonts w:cs="Arial"/>
          <w:color w:val="000000" w:themeColor="text1"/>
          <w:spacing w:val="1"/>
          <w:szCs w:val="22"/>
        </w:rPr>
        <w:t>I</w:t>
      </w:r>
      <w:r w:rsidRPr="001616B6">
        <w:rPr>
          <w:rFonts w:cs="Arial"/>
          <w:color w:val="000000" w:themeColor="text1"/>
          <w:szCs w:val="22"/>
        </w:rPr>
        <w:t>0</w:t>
      </w:r>
      <w:r w:rsidRPr="001616B6">
        <w:rPr>
          <w:rFonts w:cs="Arial"/>
          <w:color w:val="000000" w:themeColor="text1"/>
          <w:spacing w:val="-1"/>
          <w:szCs w:val="22"/>
        </w:rPr>
        <w:t>9</w:t>
      </w:r>
      <w:r w:rsidRPr="001616B6">
        <w:rPr>
          <w:rFonts w:cs="Arial"/>
          <w:color w:val="000000" w:themeColor="text1"/>
          <w:szCs w:val="22"/>
        </w:rPr>
        <w:t>9</w:t>
      </w:r>
      <w:r w:rsidRPr="001616B6">
        <w:rPr>
          <w:rFonts w:cs="Arial"/>
          <w:color w:val="000000" w:themeColor="text1"/>
          <w:spacing w:val="-3"/>
          <w:szCs w:val="22"/>
        </w:rPr>
        <w:t>7</w:t>
      </w:r>
      <w:r w:rsidRPr="001616B6">
        <w:rPr>
          <w:rFonts w:cs="Arial"/>
          <w:color w:val="000000" w:themeColor="text1"/>
          <w:szCs w:val="22"/>
        </w:rPr>
        <w:t>27 (unfunded Co-I)</w:t>
      </w:r>
      <w:r w:rsidRPr="001616B6">
        <w:rPr>
          <w:rFonts w:cs="Arial"/>
          <w:color w:val="000000" w:themeColor="text1"/>
          <w:szCs w:val="22"/>
        </w:rPr>
        <w:tab/>
      </w:r>
      <w:r w:rsidRPr="001616B6">
        <w:rPr>
          <w:rFonts w:cs="Arial"/>
          <w:color w:val="000000" w:themeColor="text1"/>
          <w:spacing w:val="-1"/>
          <w:szCs w:val="22"/>
        </w:rPr>
        <w:t>C</w:t>
      </w:r>
      <w:r w:rsidRPr="001616B6">
        <w:rPr>
          <w:rFonts w:cs="Arial"/>
          <w:color w:val="000000" w:themeColor="text1"/>
          <w:szCs w:val="22"/>
        </w:rPr>
        <w:t>ac</w:t>
      </w:r>
      <w:r w:rsidRPr="001616B6">
        <w:rPr>
          <w:rFonts w:cs="Arial"/>
          <w:color w:val="000000" w:themeColor="text1"/>
          <w:spacing w:val="-1"/>
          <w:szCs w:val="22"/>
        </w:rPr>
        <w:t>e</w:t>
      </w:r>
      <w:r w:rsidRPr="001616B6">
        <w:rPr>
          <w:rFonts w:cs="Arial"/>
          <w:color w:val="000000" w:themeColor="text1"/>
          <w:spacing w:val="1"/>
          <w:szCs w:val="22"/>
        </w:rPr>
        <w:t>r</w:t>
      </w:r>
      <w:r w:rsidRPr="001616B6">
        <w:rPr>
          <w:rFonts w:cs="Arial"/>
          <w:color w:val="000000" w:themeColor="text1"/>
          <w:spacing w:val="-3"/>
          <w:szCs w:val="22"/>
        </w:rPr>
        <w:t>e</w:t>
      </w:r>
      <w:r w:rsidRPr="001616B6">
        <w:rPr>
          <w:rFonts w:cs="Arial"/>
          <w:color w:val="000000" w:themeColor="text1"/>
          <w:szCs w:val="22"/>
        </w:rPr>
        <w:t>s (PI)</w:t>
      </w:r>
      <w:r w:rsidRPr="001616B6">
        <w:rPr>
          <w:rFonts w:cs="Arial"/>
          <w:color w:val="000000" w:themeColor="text1"/>
          <w:szCs w:val="22"/>
        </w:rPr>
        <w:tab/>
        <w:t>0</w:t>
      </w:r>
      <w:r w:rsidRPr="001616B6">
        <w:rPr>
          <w:rFonts w:cs="Arial"/>
          <w:color w:val="000000" w:themeColor="text1"/>
          <w:spacing w:val="-1"/>
          <w:szCs w:val="22"/>
        </w:rPr>
        <w:t>7</w:t>
      </w:r>
      <w:r w:rsidRPr="001616B6">
        <w:rPr>
          <w:rFonts w:cs="Arial"/>
          <w:color w:val="000000" w:themeColor="text1"/>
          <w:spacing w:val="1"/>
          <w:szCs w:val="22"/>
        </w:rPr>
        <w:t>/1/</w:t>
      </w:r>
      <w:r w:rsidRPr="001616B6">
        <w:rPr>
          <w:rFonts w:cs="Arial"/>
          <w:color w:val="000000" w:themeColor="text1"/>
          <w:szCs w:val="22"/>
        </w:rPr>
        <w:t>2</w:t>
      </w:r>
      <w:r w:rsidRPr="001616B6">
        <w:rPr>
          <w:rFonts w:cs="Arial"/>
          <w:color w:val="000000" w:themeColor="text1"/>
          <w:spacing w:val="-1"/>
          <w:szCs w:val="22"/>
        </w:rPr>
        <w:t>0</w:t>
      </w:r>
      <w:r w:rsidRPr="001616B6">
        <w:rPr>
          <w:rFonts w:cs="Arial"/>
          <w:color w:val="000000" w:themeColor="text1"/>
          <w:szCs w:val="22"/>
        </w:rPr>
        <w:t xml:space="preserve">12 </w:t>
      </w:r>
      <w:r w:rsidRPr="001616B6">
        <w:rPr>
          <w:rFonts w:cs="Arial"/>
          <w:color w:val="000000" w:themeColor="text1"/>
          <w:spacing w:val="1"/>
          <w:szCs w:val="22"/>
        </w:rPr>
        <w:t xml:space="preserve">- </w:t>
      </w:r>
      <w:r w:rsidRPr="001616B6">
        <w:rPr>
          <w:rFonts w:cs="Arial"/>
          <w:color w:val="000000" w:themeColor="text1"/>
          <w:szCs w:val="22"/>
        </w:rPr>
        <w:t>0</w:t>
      </w:r>
      <w:r w:rsidRPr="001616B6">
        <w:rPr>
          <w:rFonts w:cs="Arial"/>
          <w:color w:val="000000" w:themeColor="text1"/>
          <w:spacing w:val="-3"/>
          <w:szCs w:val="22"/>
        </w:rPr>
        <w:t>6</w:t>
      </w:r>
      <w:r w:rsidRPr="001616B6">
        <w:rPr>
          <w:rFonts w:cs="Arial"/>
          <w:color w:val="000000" w:themeColor="text1"/>
          <w:spacing w:val="1"/>
          <w:szCs w:val="22"/>
        </w:rPr>
        <w:t>/1/</w:t>
      </w:r>
      <w:r w:rsidRPr="001616B6">
        <w:rPr>
          <w:rFonts w:cs="Arial"/>
          <w:color w:val="000000" w:themeColor="text1"/>
          <w:szCs w:val="22"/>
        </w:rPr>
        <w:t>2</w:t>
      </w:r>
      <w:r w:rsidRPr="001616B6">
        <w:rPr>
          <w:rFonts w:cs="Arial"/>
          <w:color w:val="000000" w:themeColor="text1"/>
          <w:spacing w:val="-1"/>
          <w:szCs w:val="22"/>
        </w:rPr>
        <w:t>0</w:t>
      </w:r>
      <w:r w:rsidRPr="001616B6">
        <w:rPr>
          <w:rFonts w:cs="Arial"/>
          <w:color w:val="000000" w:themeColor="text1"/>
          <w:szCs w:val="22"/>
        </w:rPr>
        <w:t>17</w:t>
      </w:r>
    </w:p>
    <w:p w14:paraId="04C7C358" w14:textId="77777777" w:rsidR="00201276" w:rsidRPr="001616B6" w:rsidRDefault="00201276" w:rsidP="00201276">
      <w:pPr>
        <w:widowControl w:val="0"/>
        <w:tabs>
          <w:tab w:val="center" w:pos="5400"/>
          <w:tab w:val="right" w:pos="10800"/>
        </w:tabs>
        <w:adjustRightInd w:val="0"/>
        <w:spacing w:after="120"/>
        <w:ind w:left="180"/>
        <w:contextualSpacing/>
        <w:rPr>
          <w:rFonts w:cs="Arial"/>
          <w:color w:val="000000" w:themeColor="text1"/>
          <w:szCs w:val="22"/>
        </w:rPr>
      </w:pPr>
      <w:r w:rsidRPr="001616B6">
        <w:rPr>
          <w:rFonts w:cs="Arial"/>
          <w:color w:val="000000" w:themeColor="text1"/>
          <w:spacing w:val="2"/>
          <w:szCs w:val="22"/>
        </w:rPr>
        <w:t>T</w:t>
      </w:r>
      <w:r w:rsidRPr="001616B6">
        <w:rPr>
          <w:rFonts w:cs="Arial"/>
          <w:color w:val="000000" w:themeColor="text1"/>
          <w:spacing w:val="-1"/>
          <w:szCs w:val="22"/>
        </w:rPr>
        <w:t>i</w:t>
      </w:r>
      <w:r w:rsidRPr="001616B6">
        <w:rPr>
          <w:rFonts w:cs="Arial"/>
          <w:color w:val="000000" w:themeColor="text1"/>
          <w:spacing w:val="1"/>
          <w:szCs w:val="22"/>
        </w:rPr>
        <w:t>t</w:t>
      </w:r>
      <w:r w:rsidRPr="001616B6">
        <w:rPr>
          <w:rFonts w:cs="Arial"/>
          <w:color w:val="000000" w:themeColor="text1"/>
          <w:spacing w:val="-1"/>
          <w:szCs w:val="22"/>
        </w:rPr>
        <w:t>l</w:t>
      </w:r>
      <w:r w:rsidRPr="001616B6">
        <w:rPr>
          <w:rFonts w:cs="Arial"/>
          <w:color w:val="000000" w:themeColor="text1"/>
          <w:szCs w:val="22"/>
        </w:rPr>
        <w:t xml:space="preserve">e: </w:t>
      </w:r>
      <w:r w:rsidRPr="001616B6">
        <w:rPr>
          <w:rFonts w:cs="Arial"/>
          <w:color w:val="000000" w:themeColor="text1"/>
          <w:spacing w:val="-1"/>
          <w:szCs w:val="22"/>
        </w:rPr>
        <w:t>S</w:t>
      </w:r>
      <w:r w:rsidRPr="001616B6">
        <w:rPr>
          <w:rFonts w:cs="Arial"/>
          <w:color w:val="000000" w:themeColor="text1"/>
          <w:spacing w:val="-2"/>
          <w:szCs w:val="22"/>
        </w:rPr>
        <w:t>y</w:t>
      </w:r>
      <w:r w:rsidRPr="001616B6">
        <w:rPr>
          <w:rFonts w:cs="Arial"/>
          <w:color w:val="000000" w:themeColor="text1"/>
          <w:szCs w:val="22"/>
        </w:rPr>
        <w:t>p</w:t>
      </w:r>
      <w:r w:rsidRPr="001616B6">
        <w:rPr>
          <w:rFonts w:cs="Arial"/>
          <w:color w:val="000000" w:themeColor="text1"/>
          <w:spacing w:val="-1"/>
          <w:szCs w:val="22"/>
        </w:rPr>
        <w:t>hili</w:t>
      </w:r>
      <w:r w:rsidRPr="001616B6">
        <w:rPr>
          <w:rFonts w:cs="Arial"/>
          <w:color w:val="000000" w:themeColor="text1"/>
          <w:szCs w:val="22"/>
        </w:rPr>
        <w:t>s:</w:t>
      </w:r>
      <w:r w:rsidRPr="001616B6">
        <w:rPr>
          <w:rFonts w:cs="Arial"/>
          <w:color w:val="000000" w:themeColor="text1"/>
          <w:spacing w:val="2"/>
          <w:szCs w:val="22"/>
        </w:rPr>
        <w:t xml:space="preserve"> </w:t>
      </w:r>
      <w:r w:rsidRPr="001616B6">
        <w:rPr>
          <w:rFonts w:cs="Arial"/>
          <w:color w:val="000000" w:themeColor="text1"/>
          <w:szCs w:val="22"/>
        </w:rPr>
        <w:t>Trans</w:t>
      </w:r>
      <w:r w:rsidRPr="001616B6">
        <w:rPr>
          <w:rFonts w:cs="Arial"/>
          <w:color w:val="000000" w:themeColor="text1"/>
          <w:spacing w:val="-1"/>
          <w:szCs w:val="22"/>
        </w:rPr>
        <w:t>l</w:t>
      </w:r>
      <w:r w:rsidRPr="001616B6">
        <w:rPr>
          <w:rFonts w:cs="Arial"/>
          <w:color w:val="000000" w:themeColor="text1"/>
          <w:szCs w:val="22"/>
        </w:rPr>
        <w:t>ati</w:t>
      </w:r>
      <w:r w:rsidRPr="001616B6">
        <w:rPr>
          <w:rFonts w:cs="Arial"/>
          <w:color w:val="000000" w:themeColor="text1"/>
          <w:spacing w:val="-3"/>
          <w:szCs w:val="22"/>
        </w:rPr>
        <w:t>n</w:t>
      </w:r>
      <w:r w:rsidRPr="001616B6">
        <w:rPr>
          <w:rFonts w:cs="Arial"/>
          <w:color w:val="000000" w:themeColor="text1"/>
          <w:szCs w:val="22"/>
        </w:rPr>
        <w:t xml:space="preserve">g </w:t>
      </w:r>
      <w:r w:rsidRPr="001616B6">
        <w:rPr>
          <w:rFonts w:cs="Arial"/>
          <w:color w:val="000000" w:themeColor="text1"/>
          <w:spacing w:val="2"/>
          <w:szCs w:val="22"/>
        </w:rPr>
        <w:t>t</w:t>
      </w:r>
      <w:r w:rsidRPr="001616B6">
        <w:rPr>
          <w:rFonts w:cs="Arial"/>
          <w:color w:val="000000" w:themeColor="text1"/>
          <w:szCs w:val="22"/>
        </w:rPr>
        <w:t>ec</w:t>
      </w:r>
      <w:r w:rsidRPr="001616B6">
        <w:rPr>
          <w:rFonts w:cs="Arial"/>
          <w:color w:val="000000" w:themeColor="text1"/>
          <w:spacing w:val="-1"/>
          <w:szCs w:val="22"/>
        </w:rPr>
        <w:t>h</w:t>
      </w:r>
      <w:r w:rsidRPr="001616B6">
        <w:rPr>
          <w:rFonts w:cs="Arial"/>
          <w:color w:val="000000" w:themeColor="text1"/>
          <w:szCs w:val="22"/>
        </w:rPr>
        <w:t>n</w:t>
      </w:r>
      <w:r w:rsidRPr="001616B6">
        <w:rPr>
          <w:rFonts w:cs="Arial"/>
          <w:color w:val="000000" w:themeColor="text1"/>
          <w:spacing w:val="-1"/>
          <w:szCs w:val="22"/>
        </w:rPr>
        <w:t>ol</w:t>
      </w:r>
      <w:r w:rsidRPr="001616B6">
        <w:rPr>
          <w:rFonts w:cs="Arial"/>
          <w:color w:val="000000" w:themeColor="text1"/>
          <w:spacing w:val="-3"/>
          <w:szCs w:val="22"/>
        </w:rPr>
        <w:t>o</w:t>
      </w:r>
      <w:r w:rsidRPr="001616B6">
        <w:rPr>
          <w:rFonts w:cs="Arial"/>
          <w:color w:val="000000" w:themeColor="text1"/>
          <w:spacing w:val="2"/>
          <w:szCs w:val="22"/>
        </w:rPr>
        <w:t>g</w:t>
      </w:r>
      <w:r w:rsidRPr="001616B6">
        <w:rPr>
          <w:rFonts w:cs="Arial"/>
          <w:color w:val="000000" w:themeColor="text1"/>
          <w:szCs w:val="22"/>
        </w:rPr>
        <w:t>y</w:t>
      </w:r>
      <w:r w:rsidRPr="001616B6">
        <w:rPr>
          <w:rFonts w:cs="Arial"/>
          <w:color w:val="000000" w:themeColor="text1"/>
          <w:spacing w:val="-1"/>
          <w:szCs w:val="22"/>
        </w:rPr>
        <w:t xml:space="preserve"> </w:t>
      </w:r>
      <w:r w:rsidRPr="001616B6">
        <w:rPr>
          <w:rFonts w:cs="Arial"/>
          <w:color w:val="000000" w:themeColor="text1"/>
          <w:spacing w:val="1"/>
          <w:szCs w:val="22"/>
        </w:rPr>
        <w:t>t</w:t>
      </w:r>
      <w:r w:rsidRPr="001616B6">
        <w:rPr>
          <w:rFonts w:cs="Arial"/>
          <w:color w:val="000000" w:themeColor="text1"/>
          <w:szCs w:val="22"/>
        </w:rPr>
        <w:t>o</w:t>
      </w:r>
      <w:r w:rsidRPr="001616B6">
        <w:rPr>
          <w:rFonts w:cs="Arial"/>
          <w:color w:val="000000" w:themeColor="text1"/>
          <w:spacing w:val="-2"/>
          <w:szCs w:val="22"/>
        </w:rPr>
        <w:t xml:space="preserve"> </w:t>
      </w:r>
      <w:r w:rsidRPr="001616B6">
        <w:rPr>
          <w:rFonts w:cs="Arial"/>
          <w:color w:val="000000" w:themeColor="text1"/>
          <w:szCs w:val="22"/>
        </w:rPr>
        <w:t>u</w:t>
      </w:r>
      <w:r w:rsidRPr="001616B6">
        <w:rPr>
          <w:rFonts w:cs="Arial"/>
          <w:color w:val="000000" w:themeColor="text1"/>
          <w:spacing w:val="-1"/>
          <w:szCs w:val="22"/>
        </w:rPr>
        <w:t>n</w:t>
      </w:r>
      <w:r w:rsidRPr="001616B6">
        <w:rPr>
          <w:rFonts w:cs="Arial"/>
          <w:color w:val="000000" w:themeColor="text1"/>
          <w:szCs w:val="22"/>
        </w:rPr>
        <w:t>d</w:t>
      </w:r>
      <w:r w:rsidRPr="001616B6">
        <w:rPr>
          <w:rFonts w:cs="Arial"/>
          <w:color w:val="000000" w:themeColor="text1"/>
          <w:spacing w:val="-1"/>
          <w:szCs w:val="22"/>
        </w:rPr>
        <w:t>e</w:t>
      </w:r>
      <w:r w:rsidRPr="001616B6">
        <w:rPr>
          <w:rFonts w:cs="Arial"/>
          <w:color w:val="000000" w:themeColor="text1"/>
          <w:spacing w:val="1"/>
          <w:szCs w:val="22"/>
        </w:rPr>
        <w:t>r</w:t>
      </w:r>
      <w:r w:rsidRPr="001616B6">
        <w:rPr>
          <w:rFonts w:cs="Arial"/>
          <w:color w:val="000000" w:themeColor="text1"/>
          <w:spacing w:val="-2"/>
          <w:szCs w:val="22"/>
        </w:rPr>
        <w:t>s</w:t>
      </w:r>
      <w:r w:rsidRPr="001616B6">
        <w:rPr>
          <w:rFonts w:cs="Arial"/>
          <w:color w:val="000000" w:themeColor="text1"/>
          <w:spacing w:val="1"/>
          <w:szCs w:val="22"/>
        </w:rPr>
        <w:t>t</w:t>
      </w:r>
      <w:r w:rsidRPr="001616B6">
        <w:rPr>
          <w:rFonts w:cs="Arial"/>
          <w:color w:val="000000" w:themeColor="text1"/>
          <w:spacing w:val="-3"/>
          <w:szCs w:val="22"/>
        </w:rPr>
        <w:t>a</w:t>
      </w:r>
      <w:r w:rsidRPr="001616B6">
        <w:rPr>
          <w:rFonts w:cs="Arial"/>
          <w:color w:val="000000" w:themeColor="text1"/>
          <w:szCs w:val="22"/>
        </w:rPr>
        <w:t>nd</w:t>
      </w:r>
      <w:r w:rsidRPr="001616B6">
        <w:rPr>
          <w:rFonts w:cs="Arial"/>
          <w:color w:val="000000" w:themeColor="text1"/>
          <w:spacing w:val="1"/>
          <w:szCs w:val="22"/>
        </w:rPr>
        <w:t xml:space="preserve"> </w:t>
      </w:r>
      <w:r w:rsidRPr="001616B6">
        <w:rPr>
          <w:rFonts w:cs="Arial"/>
          <w:color w:val="000000" w:themeColor="text1"/>
          <w:szCs w:val="22"/>
        </w:rPr>
        <w:t>a n</w:t>
      </w:r>
      <w:r w:rsidRPr="001616B6">
        <w:rPr>
          <w:rFonts w:cs="Arial"/>
          <w:color w:val="000000" w:themeColor="text1"/>
          <w:spacing w:val="-2"/>
          <w:szCs w:val="22"/>
        </w:rPr>
        <w:t>e</w:t>
      </w:r>
      <w:r w:rsidRPr="001616B6">
        <w:rPr>
          <w:rFonts w:cs="Arial"/>
          <w:color w:val="000000" w:themeColor="text1"/>
          <w:spacing w:val="2"/>
          <w:szCs w:val="22"/>
        </w:rPr>
        <w:t>g</w:t>
      </w:r>
      <w:r w:rsidRPr="001616B6">
        <w:rPr>
          <w:rFonts w:cs="Arial"/>
          <w:color w:val="000000" w:themeColor="text1"/>
          <w:spacing w:val="-1"/>
          <w:szCs w:val="22"/>
        </w:rPr>
        <w:t>l</w:t>
      </w:r>
      <w:r w:rsidRPr="001616B6">
        <w:rPr>
          <w:rFonts w:cs="Arial"/>
          <w:color w:val="000000" w:themeColor="text1"/>
          <w:szCs w:val="22"/>
        </w:rPr>
        <w:t>ec</w:t>
      </w:r>
      <w:r w:rsidRPr="001616B6">
        <w:rPr>
          <w:rFonts w:cs="Arial"/>
          <w:color w:val="000000" w:themeColor="text1"/>
          <w:spacing w:val="-2"/>
          <w:szCs w:val="22"/>
        </w:rPr>
        <w:t>t</w:t>
      </w:r>
      <w:r w:rsidRPr="001616B6">
        <w:rPr>
          <w:rFonts w:cs="Arial"/>
          <w:color w:val="000000" w:themeColor="text1"/>
          <w:szCs w:val="22"/>
        </w:rPr>
        <w:t>ed</w:t>
      </w:r>
      <w:r w:rsidRPr="001616B6">
        <w:rPr>
          <w:rFonts w:cs="Arial"/>
          <w:color w:val="000000" w:themeColor="text1"/>
          <w:spacing w:val="1"/>
          <w:szCs w:val="22"/>
        </w:rPr>
        <w:t xml:space="preserve"> </w:t>
      </w:r>
      <w:r w:rsidRPr="001616B6">
        <w:rPr>
          <w:rFonts w:cs="Arial"/>
          <w:color w:val="000000" w:themeColor="text1"/>
          <w:szCs w:val="22"/>
        </w:rPr>
        <w:t>e</w:t>
      </w:r>
      <w:r w:rsidRPr="001616B6">
        <w:rPr>
          <w:rFonts w:cs="Arial"/>
          <w:color w:val="000000" w:themeColor="text1"/>
          <w:spacing w:val="-1"/>
          <w:szCs w:val="22"/>
        </w:rPr>
        <w:t>pi</w:t>
      </w:r>
      <w:r w:rsidRPr="001616B6">
        <w:rPr>
          <w:rFonts w:cs="Arial"/>
          <w:color w:val="000000" w:themeColor="text1"/>
          <w:szCs w:val="22"/>
        </w:rPr>
        <w:t>d</w:t>
      </w:r>
      <w:r w:rsidRPr="001616B6">
        <w:rPr>
          <w:rFonts w:cs="Arial"/>
          <w:color w:val="000000" w:themeColor="text1"/>
          <w:spacing w:val="-1"/>
          <w:szCs w:val="22"/>
        </w:rPr>
        <w:t>e</w:t>
      </w:r>
      <w:r w:rsidRPr="001616B6">
        <w:rPr>
          <w:rFonts w:cs="Arial"/>
          <w:color w:val="000000" w:themeColor="text1"/>
          <w:spacing w:val="1"/>
          <w:szCs w:val="22"/>
        </w:rPr>
        <w:t>m</w:t>
      </w:r>
      <w:r w:rsidRPr="001616B6">
        <w:rPr>
          <w:rFonts w:cs="Arial"/>
          <w:color w:val="000000" w:themeColor="text1"/>
          <w:spacing w:val="-1"/>
          <w:szCs w:val="22"/>
        </w:rPr>
        <w:t>i</w:t>
      </w:r>
      <w:r w:rsidRPr="001616B6">
        <w:rPr>
          <w:rFonts w:cs="Arial"/>
          <w:color w:val="000000" w:themeColor="text1"/>
          <w:szCs w:val="22"/>
        </w:rPr>
        <w:t>c</w:t>
      </w:r>
    </w:p>
    <w:p w14:paraId="7E9DB725" w14:textId="77777777" w:rsidR="00201276" w:rsidRPr="001616B6" w:rsidRDefault="00201276" w:rsidP="00201276">
      <w:pPr>
        <w:widowControl w:val="0"/>
        <w:tabs>
          <w:tab w:val="center" w:pos="5400"/>
          <w:tab w:val="right" w:pos="10800"/>
        </w:tabs>
        <w:adjustRightInd w:val="0"/>
        <w:spacing w:after="120"/>
        <w:ind w:left="180" w:right="1081"/>
        <w:contextualSpacing/>
        <w:rPr>
          <w:rFonts w:cs="Arial"/>
          <w:color w:val="000000" w:themeColor="text1"/>
          <w:szCs w:val="22"/>
        </w:rPr>
      </w:pPr>
      <w:r w:rsidRPr="001616B6">
        <w:rPr>
          <w:rFonts w:cs="Arial"/>
          <w:color w:val="000000" w:themeColor="text1"/>
          <w:szCs w:val="22"/>
        </w:rPr>
        <w:t>Goal: Increase research capacity in Lima, Peru, through studying syphilis in high-risk men</w:t>
      </w:r>
    </w:p>
    <w:p w14:paraId="1472DCA9" w14:textId="77777777" w:rsidR="004E797F" w:rsidRPr="001616B6" w:rsidRDefault="004E797F" w:rsidP="004E797F">
      <w:pPr>
        <w:pStyle w:val="Subtitle2"/>
        <w:spacing w:before="0"/>
        <w:ind w:left="180"/>
        <w:rPr>
          <w:rFonts w:cs="Arial"/>
          <w:b w:val="0"/>
          <w:szCs w:val="22"/>
          <w:u w:val="none"/>
        </w:rPr>
      </w:pPr>
    </w:p>
    <w:p w14:paraId="158809F3" w14:textId="77777777" w:rsidR="004E797F" w:rsidRPr="001616B6" w:rsidRDefault="004E797F" w:rsidP="004E797F">
      <w:pPr>
        <w:pStyle w:val="Subtitle2"/>
        <w:spacing w:before="0"/>
        <w:ind w:left="180"/>
        <w:rPr>
          <w:rFonts w:cs="Arial"/>
          <w:b w:val="0"/>
          <w:szCs w:val="22"/>
          <w:u w:val="none"/>
        </w:rPr>
      </w:pPr>
      <w:r w:rsidRPr="001616B6">
        <w:rPr>
          <w:rFonts w:cs="Arial"/>
          <w:b w:val="0"/>
          <w:szCs w:val="22"/>
          <w:u w:val="none"/>
        </w:rPr>
        <w:t>UCLA CFAR (PI)</w:t>
      </w:r>
      <w:r w:rsidRPr="001616B6">
        <w:rPr>
          <w:rFonts w:cs="Arial"/>
          <w:b w:val="0"/>
          <w:szCs w:val="22"/>
          <w:u w:val="none"/>
        </w:rPr>
        <w:tab/>
      </w:r>
      <w:r w:rsidRPr="001616B6">
        <w:rPr>
          <w:rFonts w:cs="Arial"/>
          <w:b w:val="0"/>
          <w:szCs w:val="22"/>
          <w:u w:val="none"/>
        </w:rPr>
        <w:tab/>
      </w:r>
      <w:r w:rsidRPr="001616B6">
        <w:rPr>
          <w:rFonts w:cs="Arial"/>
          <w:b w:val="0"/>
          <w:szCs w:val="22"/>
          <w:u w:val="none"/>
        </w:rPr>
        <w:tab/>
      </w:r>
      <w:r w:rsidRPr="001616B6">
        <w:rPr>
          <w:rFonts w:cs="Arial"/>
          <w:b w:val="0"/>
          <w:szCs w:val="22"/>
          <w:u w:val="none"/>
        </w:rPr>
        <w:tab/>
      </w:r>
      <w:r w:rsidRPr="001616B6">
        <w:rPr>
          <w:rFonts w:cs="Arial"/>
          <w:b w:val="0"/>
          <w:szCs w:val="22"/>
          <w:u w:val="none"/>
        </w:rPr>
        <w:tab/>
      </w:r>
      <w:r w:rsidRPr="001616B6">
        <w:rPr>
          <w:rFonts w:cs="Arial"/>
          <w:b w:val="0"/>
          <w:szCs w:val="22"/>
          <w:u w:val="none"/>
        </w:rPr>
        <w:tab/>
      </w:r>
      <w:r w:rsidRPr="001616B6">
        <w:rPr>
          <w:rFonts w:cs="Arial"/>
          <w:b w:val="0"/>
          <w:szCs w:val="22"/>
          <w:u w:val="none"/>
        </w:rPr>
        <w:tab/>
      </w:r>
      <w:r w:rsidRPr="001616B6">
        <w:rPr>
          <w:rFonts w:cs="Arial"/>
          <w:b w:val="0"/>
          <w:szCs w:val="22"/>
          <w:u w:val="none"/>
        </w:rPr>
        <w:tab/>
      </w:r>
      <w:r>
        <w:rPr>
          <w:rFonts w:cs="Arial"/>
          <w:b w:val="0"/>
          <w:szCs w:val="22"/>
          <w:u w:val="none"/>
        </w:rPr>
        <w:t>Konda (PI)</w:t>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r>
      <w:r>
        <w:rPr>
          <w:rFonts w:cs="Arial"/>
          <w:b w:val="0"/>
          <w:szCs w:val="22"/>
          <w:u w:val="none"/>
        </w:rPr>
        <w:tab/>
        <w:t>04/1/2015 – 10/31</w:t>
      </w:r>
      <w:r w:rsidRPr="001616B6">
        <w:rPr>
          <w:rFonts w:cs="Arial"/>
          <w:b w:val="0"/>
          <w:szCs w:val="22"/>
          <w:u w:val="none"/>
        </w:rPr>
        <w:t>/2017</w:t>
      </w:r>
      <w:r w:rsidRPr="001616B6">
        <w:rPr>
          <w:rFonts w:cs="Arial"/>
          <w:b w:val="0"/>
          <w:szCs w:val="22"/>
          <w:u w:val="none"/>
        </w:rPr>
        <w:tab/>
      </w:r>
    </w:p>
    <w:p w14:paraId="1EF27EDB" w14:textId="77777777" w:rsidR="004E797F" w:rsidRPr="001616B6" w:rsidRDefault="004E797F" w:rsidP="004E797F">
      <w:pPr>
        <w:pStyle w:val="Subtitle2"/>
        <w:spacing w:before="0"/>
        <w:ind w:left="180"/>
        <w:rPr>
          <w:rFonts w:cs="Arial"/>
          <w:b w:val="0"/>
          <w:szCs w:val="22"/>
          <w:u w:val="none"/>
        </w:rPr>
      </w:pPr>
      <w:r w:rsidRPr="001616B6">
        <w:rPr>
          <w:rFonts w:cs="Arial"/>
          <w:b w:val="0"/>
          <w:iCs/>
          <w:szCs w:val="22"/>
          <w:u w:val="none"/>
        </w:rPr>
        <w:t xml:space="preserve">Title: </w:t>
      </w:r>
      <w:r w:rsidRPr="001616B6">
        <w:rPr>
          <w:rFonts w:cs="Arial"/>
          <w:b w:val="0"/>
          <w:i/>
          <w:iCs/>
          <w:szCs w:val="22"/>
          <w:u w:val="none"/>
        </w:rPr>
        <w:t>Alternative Venues for HIV Testing with MSM and TW in Lima, Peru</w:t>
      </w:r>
    </w:p>
    <w:p w14:paraId="57F94749" w14:textId="77777777" w:rsidR="004E797F" w:rsidRPr="001616B6" w:rsidRDefault="004E797F" w:rsidP="004E797F">
      <w:pPr>
        <w:pStyle w:val="Subtitle2"/>
        <w:spacing w:before="0"/>
        <w:ind w:left="180"/>
        <w:rPr>
          <w:rFonts w:cs="Arial"/>
          <w:b w:val="0"/>
          <w:szCs w:val="22"/>
          <w:u w:val="none"/>
        </w:rPr>
      </w:pPr>
      <w:r w:rsidRPr="001616B6">
        <w:rPr>
          <w:rFonts w:cs="Arial"/>
          <w:b w:val="0"/>
          <w:szCs w:val="22"/>
          <w:u w:val="none"/>
        </w:rPr>
        <w:t>Goals: This grant supports mixed methods research on rapid HIV testing in alternative venues frequented by MSM and trans women in Lima, Peru.</w:t>
      </w:r>
    </w:p>
    <w:p w14:paraId="5BB8C337" w14:textId="77777777" w:rsidR="00FC5F9E" w:rsidRPr="005C2CF8" w:rsidRDefault="00FC5F9E" w:rsidP="005C2CF8">
      <w:pPr>
        <w:pStyle w:val="DataField11pt-Single"/>
        <w:rPr>
          <w:rStyle w:val="Strong"/>
        </w:rPr>
      </w:pPr>
    </w:p>
    <w:sectPr w:rsidR="00FC5F9E" w:rsidRPr="005C2CF8"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685CF" w14:textId="77777777" w:rsidR="00F1284A" w:rsidRDefault="00F1284A">
      <w:r>
        <w:separator/>
      </w:r>
    </w:p>
  </w:endnote>
  <w:endnote w:type="continuationSeparator" w:id="0">
    <w:p w14:paraId="10F4AB86" w14:textId="77777777" w:rsidR="00F1284A" w:rsidRDefault="00F1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charset w:val="00"/>
    <w:family w:val="swiss"/>
    <w:pitch w:val="variable"/>
    <w:sig w:usb0="E4002EFF" w:usb1="C000E47F"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6182B" w14:textId="77777777" w:rsidR="00F1284A" w:rsidRDefault="00F1284A">
      <w:r>
        <w:separator/>
      </w:r>
    </w:p>
  </w:footnote>
  <w:footnote w:type="continuationSeparator" w:id="0">
    <w:p w14:paraId="1B5EFC11" w14:textId="77777777" w:rsidR="00F1284A" w:rsidRDefault="00F128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11255" w14:textId="4BE79BB4" w:rsidR="00E127A1" w:rsidRDefault="00E127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26E5504C"/>
    <w:multiLevelType w:val="hybridMultilevel"/>
    <w:tmpl w:val="E7EAB326"/>
    <w:lvl w:ilvl="0" w:tplc="820C7702">
      <w:start w:val="5"/>
      <w:numFmt w:val="bullet"/>
      <w:lvlText w:val=""/>
      <w:lvlJc w:val="left"/>
      <w:pPr>
        <w:ind w:left="540" w:hanging="360"/>
      </w:pPr>
      <w:rPr>
        <w:rFonts w:ascii="Symbol" w:eastAsia="Times New Roman" w:hAnsi="Symbo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579E7FEE"/>
    <w:multiLevelType w:val="hybridMultilevel"/>
    <w:tmpl w:val="78048E4E"/>
    <w:lvl w:ilvl="0" w:tplc="A5E0F3DA">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A0389F"/>
    <w:multiLevelType w:val="hybridMultilevel"/>
    <w:tmpl w:val="82CEA7EE"/>
    <w:lvl w:ilvl="0" w:tplc="3A901B88">
      <w:start w:val="5"/>
      <w:numFmt w:val="bullet"/>
      <w:lvlText w:val=""/>
      <w:lvlJc w:val="left"/>
      <w:pPr>
        <w:ind w:left="540" w:hanging="360"/>
      </w:pPr>
      <w:rPr>
        <w:rFonts w:ascii="Symbol" w:eastAsia="Times New Roman" w:hAnsi="Symbo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22325D"/>
    <w:multiLevelType w:val="hybridMultilevel"/>
    <w:tmpl w:val="D7F2F0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1">
    <w:nsid w:val="7D242E71"/>
    <w:multiLevelType w:val="hybridMultilevel"/>
    <w:tmpl w:val="AE30FEC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F3161ED"/>
    <w:multiLevelType w:val="hybridMultilevel"/>
    <w:tmpl w:val="F0187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4"/>
  </w:num>
  <w:num w:numId="13">
    <w:abstractNumId w:val="11"/>
  </w:num>
  <w:num w:numId="14">
    <w:abstractNumId w:val="20"/>
  </w:num>
  <w:num w:numId="15">
    <w:abstractNumId w:val="17"/>
  </w:num>
  <w:num w:numId="16">
    <w:abstractNumId w:val="19"/>
  </w:num>
  <w:num w:numId="17">
    <w:abstractNumId w:val="10"/>
  </w:num>
  <w:num w:numId="18">
    <w:abstractNumId w:val="13"/>
  </w:num>
  <w:num w:numId="19">
    <w:abstractNumId w:val="22"/>
  </w:num>
  <w:num w:numId="20">
    <w:abstractNumId w:val="18"/>
  </w:num>
  <w:num w:numId="21">
    <w:abstractNumId w:val="21"/>
  </w:num>
  <w:num w:numId="22">
    <w:abstractNumId w:val="16"/>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3A7A"/>
    <w:rsid w:val="0003001F"/>
    <w:rsid w:val="000539B0"/>
    <w:rsid w:val="00067621"/>
    <w:rsid w:val="00084466"/>
    <w:rsid w:val="000E3BEC"/>
    <w:rsid w:val="00122EB3"/>
    <w:rsid w:val="00132CA6"/>
    <w:rsid w:val="0014571A"/>
    <w:rsid w:val="00170D87"/>
    <w:rsid w:val="00177D49"/>
    <w:rsid w:val="00194B60"/>
    <w:rsid w:val="001C065C"/>
    <w:rsid w:val="00201276"/>
    <w:rsid w:val="002506F6"/>
    <w:rsid w:val="0028051C"/>
    <w:rsid w:val="002A70D9"/>
    <w:rsid w:val="002B7443"/>
    <w:rsid w:val="002C4808"/>
    <w:rsid w:val="002D7520"/>
    <w:rsid w:val="002E2CA2"/>
    <w:rsid w:val="002E5125"/>
    <w:rsid w:val="00321A19"/>
    <w:rsid w:val="0035045F"/>
    <w:rsid w:val="0037667F"/>
    <w:rsid w:val="00382AB6"/>
    <w:rsid w:val="00383712"/>
    <w:rsid w:val="003C2647"/>
    <w:rsid w:val="003C62D6"/>
    <w:rsid w:val="003D2399"/>
    <w:rsid w:val="003E4A92"/>
    <w:rsid w:val="003F6A45"/>
    <w:rsid w:val="0040289D"/>
    <w:rsid w:val="00432346"/>
    <w:rsid w:val="00447F3A"/>
    <w:rsid w:val="004759D9"/>
    <w:rsid w:val="0049068A"/>
    <w:rsid w:val="00493D23"/>
    <w:rsid w:val="004A3FC8"/>
    <w:rsid w:val="004E797F"/>
    <w:rsid w:val="00503B57"/>
    <w:rsid w:val="005145BB"/>
    <w:rsid w:val="00517BFD"/>
    <w:rsid w:val="0054471F"/>
    <w:rsid w:val="005461F3"/>
    <w:rsid w:val="00547118"/>
    <w:rsid w:val="00547AC9"/>
    <w:rsid w:val="00592740"/>
    <w:rsid w:val="005A7F6F"/>
    <w:rsid w:val="005C178A"/>
    <w:rsid w:val="005C2BDD"/>
    <w:rsid w:val="005C2CF8"/>
    <w:rsid w:val="005C47A8"/>
    <w:rsid w:val="005E406E"/>
    <w:rsid w:val="005F5F51"/>
    <w:rsid w:val="00601C69"/>
    <w:rsid w:val="00616BCC"/>
    <w:rsid w:val="00624261"/>
    <w:rsid w:val="00646AF9"/>
    <w:rsid w:val="00656AB8"/>
    <w:rsid w:val="006609B6"/>
    <w:rsid w:val="0068699D"/>
    <w:rsid w:val="006A353C"/>
    <w:rsid w:val="006A56FC"/>
    <w:rsid w:val="006B1D9F"/>
    <w:rsid w:val="006B2D1C"/>
    <w:rsid w:val="006C1E1F"/>
    <w:rsid w:val="006E6FB5"/>
    <w:rsid w:val="007050F5"/>
    <w:rsid w:val="0071140F"/>
    <w:rsid w:val="00722C8F"/>
    <w:rsid w:val="00763DE9"/>
    <w:rsid w:val="00781234"/>
    <w:rsid w:val="007B7AF3"/>
    <w:rsid w:val="007F5F03"/>
    <w:rsid w:val="008073EB"/>
    <w:rsid w:val="00843027"/>
    <w:rsid w:val="00873917"/>
    <w:rsid w:val="00874EBC"/>
    <w:rsid w:val="00890CA9"/>
    <w:rsid w:val="009211D3"/>
    <w:rsid w:val="00933173"/>
    <w:rsid w:val="00934124"/>
    <w:rsid w:val="00952A27"/>
    <w:rsid w:val="00977FA5"/>
    <w:rsid w:val="009D7E97"/>
    <w:rsid w:val="009E52CA"/>
    <w:rsid w:val="009F72E5"/>
    <w:rsid w:val="00A03FFA"/>
    <w:rsid w:val="00A04942"/>
    <w:rsid w:val="00A04B52"/>
    <w:rsid w:val="00A1469B"/>
    <w:rsid w:val="00A14EF5"/>
    <w:rsid w:val="00A26D0F"/>
    <w:rsid w:val="00A42D9B"/>
    <w:rsid w:val="00A55D1D"/>
    <w:rsid w:val="00A63D7C"/>
    <w:rsid w:val="00A7514C"/>
    <w:rsid w:val="00A8122C"/>
    <w:rsid w:val="00A83312"/>
    <w:rsid w:val="00AE41C4"/>
    <w:rsid w:val="00BA3736"/>
    <w:rsid w:val="00C05C55"/>
    <w:rsid w:val="00C076C6"/>
    <w:rsid w:val="00C1247F"/>
    <w:rsid w:val="00C137DA"/>
    <w:rsid w:val="00C20F69"/>
    <w:rsid w:val="00C3113F"/>
    <w:rsid w:val="00C4536F"/>
    <w:rsid w:val="00C46ADA"/>
    <w:rsid w:val="00C8438D"/>
    <w:rsid w:val="00C85025"/>
    <w:rsid w:val="00C918BD"/>
    <w:rsid w:val="00C94E59"/>
    <w:rsid w:val="00CA680A"/>
    <w:rsid w:val="00CE0951"/>
    <w:rsid w:val="00CE4BA3"/>
    <w:rsid w:val="00CE6B68"/>
    <w:rsid w:val="00CF68A2"/>
    <w:rsid w:val="00D3779E"/>
    <w:rsid w:val="00D679E5"/>
    <w:rsid w:val="00D74391"/>
    <w:rsid w:val="00D83360"/>
    <w:rsid w:val="00DB7B85"/>
    <w:rsid w:val="00DD31B4"/>
    <w:rsid w:val="00DF7645"/>
    <w:rsid w:val="00E047AD"/>
    <w:rsid w:val="00E12287"/>
    <w:rsid w:val="00E127A1"/>
    <w:rsid w:val="00E20E6D"/>
    <w:rsid w:val="00E355C2"/>
    <w:rsid w:val="00E53B95"/>
    <w:rsid w:val="00E55852"/>
    <w:rsid w:val="00E67A05"/>
    <w:rsid w:val="00E74AB7"/>
    <w:rsid w:val="00E81FE1"/>
    <w:rsid w:val="00E90203"/>
    <w:rsid w:val="00EA0405"/>
    <w:rsid w:val="00ED35D7"/>
    <w:rsid w:val="00EF4C32"/>
    <w:rsid w:val="00EF69CD"/>
    <w:rsid w:val="00F02126"/>
    <w:rsid w:val="00F07AB3"/>
    <w:rsid w:val="00F1284A"/>
    <w:rsid w:val="00F262AB"/>
    <w:rsid w:val="00F7284D"/>
    <w:rsid w:val="00F94A2B"/>
    <w:rsid w:val="00FA00C6"/>
    <w:rsid w:val="00FC3CDA"/>
    <w:rsid w:val="00FC5F9E"/>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customStyle="1" w:styleId="DataField">
    <w:name w:val="Data Field"/>
    <w:link w:val="DataFieldChar1"/>
    <w:rsid w:val="006B1D9F"/>
    <w:pPr>
      <w:widowControl w:val="0"/>
    </w:pPr>
    <w:rPr>
      <w:rFonts w:ascii="Arial" w:hAnsi="Arial" w:cs="Arial"/>
      <w:sz w:val="22"/>
      <w:szCs w:val="22"/>
    </w:rPr>
  </w:style>
  <w:style w:type="character" w:customStyle="1" w:styleId="DataFieldChar1">
    <w:name w:val="Data Field Char1"/>
    <w:link w:val="DataField"/>
    <w:rsid w:val="006B1D9F"/>
    <w:rPr>
      <w:rFonts w:ascii="Arial" w:hAnsi="Arial" w:cs="Arial"/>
      <w:sz w:val="22"/>
      <w:szCs w:val="22"/>
    </w:rPr>
  </w:style>
  <w:style w:type="paragraph" w:styleId="ListParagraph">
    <w:name w:val="List Paragraph"/>
    <w:basedOn w:val="Normal"/>
    <w:uiPriority w:val="34"/>
    <w:qFormat/>
    <w:rsid w:val="006B1D9F"/>
    <w:pPr>
      <w:ind w:left="720"/>
      <w:contextualSpacing/>
    </w:pPr>
  </w:style>
  <w:style w:type="character" w:styleId="FollowedHyperlink">
    <w:name w:val="FollowedHyperlink"/>
    <w:basedOn w:val="DefaultParagraphFont"/>
    <w:rsid w:val="005C178A"/>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customStyle="1" w:styleId="DataField">
    <w:name w:val="Data Field"/>
    <w:link w:val="DataFieldChar1"/>
    <w:rsid w:val="006B1D9F"/>
    <w:pPr>
      <w:widowControl w:val="0"/>
    </w:pPr>
    <w:rPr>
      <w:rFonts w:ascii="Arial" w:hAnsi="Arial" w:cs="Arial"/>
      <w:sz w:val="22"/>
      <w:szCs w:val="22"/>
    </w:rPr>
  </w:style>
  <w:style w:type="character" w:customStyle="1" w:styleId="DataFieldChar1">
    <w:name w:val="Data Field Char1"/>
    <w:link w:val="DataField"/>
    <w:rsid w:val="006B1D9F"/>
    <w:rPr>
      <w:rFonts w:ascii="Arial" w:hAnsi="Arial" w:cs="Arial"/>
      <w:sz w:val="22"/>
      <w:szCs w:val="22"/>
    </w:rPr>
  </w:style>
  <w:style w:type="paragraph" w:styleId="ListParagraph">
    <w:name w:val="List Paragraph"/>
    <w:basedOn w:val="Normal"/>
    <w:uiPriority w:val="34"/>
    <w:qFormat/>
    <w:rsid w:val="006B1D9F"/>
    <w:pPr>
      <w:ind w:left="720"/>
      <w:contextualSpacing/>
    </w:pPr>
  </w:style>
  <w:style w:type="character" w:styleId="FollowedHyperlink">
    <w:name w:val="FollowedHyperlink"/>
    <w:basedOn w:val="DefaultParagraphFont"/>
    <w:rsid w:val="005C17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cbi.nlm.nih.gov/sites/myncbi/kelika.konda.1/bibliography/48332866/public/?sort=date&amp;direction=ascending"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7d2d7d228856009b15885e6a71e7db03">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7287141b1cd8729e63493a37b050eea8"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enumeration value="Data Tables"/>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Working</File_x0020_Status>
    <Category xmlns="97b54082-1e85-426d-afc6-16ad99d216c1">WIP</Category>
    <CR_ID xmlns="97b54082-1e85-426d-afc6-16ad99d216c1" xsi:nil="true"/>
    <Form_x0020_Set xmlns="97b54082-1e85-426d-afc6-16ad99d216c1">SF424</Form_x0020_Set>
    <Test_x0020_Comment xmlns="97b54082-1e85-426d-afc6-16ad99d216c1">3/9/16 CA Incorporated 2nd round of edits.</Test_x0020_Comment>
    <OMB_x0020_No_x002e_ xmlns="97b54082-1e85-426d-afc6-16ad99d216c1">0925-0046</OMB_x0020_No_x002e_>
  </documentManagement>
</p:properties>
</file>

<file path=customXml/itemProps1.xml><?xml version="1.0" encoding="utf-8"?>
<ds:datastoreItem xmlns:ds="http://schemas.openxmlformats.org/officeDocument/2006/customXml" ds:itemID="{E293DDF4-7C76-4C1D-BA7D-2A890551F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1391</Words>
  <Characters>7935</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9308</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Pal Shah</cp:lastModifiedBy>
  <cp:revision>2</cp:revision>
  <cp:lastPrinted>2011-03-11T19:43:00Z</cp:lastPrinted>
  <dcterms:created xsi:type="dcterms:W3CDTF">2018-11-19T16:56:00Z</dcterms:created>
  <dcterms:modified xsi:type="dcterms:W3CDTF">2018-11-19T16:56:00Z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